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60383" w14:textId="77777777" w:rsidR="00B47196" w:rsidRDefault="00B47196" w:rsidP="008B55EA">
      <w:pPr>
        <w:ind w:left="420"/>
        <w:rPr>
          <w:rFonts w:ascii="宋体" w:hAnsi="宋体"/>
          <w:b/>
          <w:bCs/>
          <w:sz w:val="18"/>
          <w:szCs w:val="18"/>
        </w:rPr>
      </w:pPr>
    </w:p>
    <w:p w14:paraId="33582BBF" w14:textId="70CE7655" w:rsidR="00662F66" w:rsidRPr="0006498A" w:rsidRDefault="00662F66" w:rsidP="00662F66">
      <w:pPr>
        <w:ind w:left="420"/>
        <w:jc w:val="center"/>
        <w:rPr>
          <w:rFonts w:ascii="宋体" w:hAnsi="宋体"/>
          <w:b/>
          <w:bCs/>
          <w:sz w:val="30"/>
          <w:szCs w:val="30"/>
        </w:rPr>
      </w:pPr>
      <w:r w:rsidRPr="0006498A">
        <w:rPr>
          <w:rFonts w:ascii="宋体" w:hAnsi="宋体" w:hint="eastAsia"/>
          <w:b/>
          <w:bCs/>
          <w:sz w:val="30"/>
          <w:szCs w:val="30"/>
        </w:rPr>
        <w:t>201</w:t>
      </w:r>
      <w:r w:rsidR="001338B4">
        <w:rPr>
          <w:rFonts w:ascii="宋体" w:hAnsi="宋体" w:hint="eastAsia"/>
          <w:b/>
          <w:bCs/>
          <w:sz w:val="30"/>
          <w:szCs w:val="30"/>
        </w:rPr>
        <w:t>7</w:t>
      </w:r>
      <w:r w:rsidRPr="0006498A">
        <w:rPr>
          <w:rFonts w:ascii="宋体" w:hAnsi="宋体" w:hint="eastAsia"/>
          <w:b/>
          <w:bCs/>
          <w:sz w:val="30"/>
          <w:szCs w:val="30"/>
        </w:rPr>
        <w:t>年教育事业统计报表</w:t>
      </w:r>
      <w:r w:rsidR="00D864BB">
        <w:rPr>
          <w:rFonts w:ascii="宋体" w:hAnsi="宋体" w:hint="eastAsia"/>
          <w:b/>
          <w:bCs/>
          <w:sz w:val="30"/>
          <w:szCs w:val="30"/>
        </w:rPr>
        <w:t>及指标修订</w:t>
      </w:r>
      <w:r w:rsidRPr="0006498A">
        <w:rPr>
          <w:rFonts w:ascii="宋体" w:hAnsi="宋体" w:hint="eastAsia"/>
          <w:b/>
          <w:bCs/>
          <w:sz w:val="30"/>
          <w:szCs w:val="30"/>
        </w:rPr>
        <w:t>内容</w:t>
      </w:r>
      <w:r w:rsidR="005839CD">
        <w:rPr>
          <w:rFonts w:ascii="宋体" w:hAnsi="宋体" w:hint="eastAsia"/>
          <w:b/>
          <w:bCs/>
          <w:sz w:val="30"/>
          <w:szCs w:val="30"/>
        </w:rPr>
        <w:t>(201</w:t>
      </w:r>
      <w:r w:rsidR="001338B4">
        <w:rPr>
          <w:rFonts w:ascii="宋体" w:hAnsi="宋体" w:hint="eastAsia"/>
          <w:b/>
          <w:bCs/>
          <w:sz w:val="30"/>
          <w:szCs w:val="30"/>
        </w:rPr>
        <w:t>7</w:t>
      </w:r>
      <w:r w:rsidR="005839CD">
        <w:rPr>
          <w:rFonts w:ascii="宋体" w:hAnsi="宋体" w:hint="eastAsia"/>
          <w:b/>
          <w:bCs/>
          <w:sz w:val="30"/>
          <w:szCs w:val="30"/>
        </w:rPr>
        <w:t>年</w:t>
      </w:r>
      <w:r w:rsidR="0021636F">
        <w:rPr>
          <w:rFonts w:ascii="宋体" w:hAnsi="宋体"/>
          <w:b/>
          <w:bCs/>
          <w:sz w:val="30"/>
          <w:szCs w:val="30"/>
        </w:rPr>
        <w:t>8</w:t>
      </w:r>
      <w:r w:rsidR="005839CD">
        <w:rPr>
          <w:rFonts w:ascii="宋体" w:hAnsi="宋体" w:hint="eastAsia"/>
          <w:b/>
          <w:bCs/>
          <w:sz w:val="30"/>
          <w:szCs w:val="30"/>
        </w:rPr>
        <w:t>月</w:t>
      </w:r>
      <w:r w:rsidR="0021636F">
        <w:rPr>
          <w:rFonts w:ascii="宋体" w:hAnsi="宋体"/>
          <w:b/>
          <w:bCs/>
          <w:sz w:val="30"/>
          <w:szCs w:val="30"/>
        </w:rPr>
        <w:t>8</w:t>
      </w:r>
      <w:r w:rsidR="005839CD">
        <w:rPr>
          <w:rFonts w:ascii="宋体" w:hAnsi="宋体" w:hint="eastAsia"/>
          <w:b/>
          <w:bCs/>
          <w:sz w:val="30"/>
          <w:szCs w:val="30"/>
        </w:rPr>
        <w:t>日)</w:t>
      </w:r>
    </w:p>
    <w:p w14:paraId="58930EA2" w14:textId="77777777" w:rsidR="0008695A" w:rsidRDefault="0008695A" w:rsidP="008B55EA">
      <w:pPr>
        <w:ind w:left="420"/>
      </w:pPr>
    </w:p>
    <w:p w14:paraId="1BCE75B7" w14:textId="77777777" w:rsidR="006900CD" w:rsidRDefault="006900CD" w:rsidP="008B55EA">
      <w:pPr>
        <w:ind w:left="420"/>
      </w:pPr>
    </w:p>
    <w:tbl>
      <w:tblPr>
        <w:tblStyle w:val="aa"/>
        <w:tblW w:w="0" w:type="auto"/>
        <w:tblInd w:w="420" w:type="dxa"/>
        <w:tblLayout w:type="fixed"/>
        <w:tblLook w:val="04A0" w:firstRow="1" w:lastRow="0" w:firstColumn="1" w:lastColumn="0" w:noHBand="0" w:noVBand="1"/>
      </w:tblPr>
      <w:tblGrid>
        <w:gridCol w:w="535"/>
        <w:gridCol w:w="1308"/>
        <w:gridCol w:w="424"/>
        <w:gridCol w:w="1136"/>
        <w:gridCol w:w="567"/>
        <w:gridCol w:w="425"/>
        <w:gridCol w:w="1701"/>
        <w:gridCol w:w="2410"/>
        <w:gridCol w:w="5386"/>
        <w:gridCol w:w="142"/>
        <w:gridCol w:w="934"/>
      </w:tblGrid>
      <w:tr w:rsidR="00D864BB" w14:paraId="0C467269" w14:textId="77777777" w:rsidTr="0001608F">
        <w:tc>
          <w:tcPr>
            <w:tcW w:w="14968" w:type="dxa"/>
            <w:gridSpan w:val="11"/>
          </w:tcPr>
          <w:p w14:paraId="1CA54B4C" w14:textId="7A9E3D20" w:rsidR="00D864BB" w:rsidRPr="00D864BB" w:rsidRDefault="00D864BB" w:rsidP="009E59FA">
            <w:pPr>
              <w:jc w:val="left"/>
              <w:rPr>
                <w:b/>
              </w:rPr>
            </w:pPr>
            <w:r w:rsidRPr="00D864BB">
              <w:rPr>
                <w:rFonts w:hint="eastAsia"/>
                <w:b/>
              </w:rPr>
              <w:t>一、报表</w:t>
            </w:r>
            <w:r w:rsidR="00A0282B">
              <w:rPr>
                <w:rFonts w:hint="eastAsia"/>
                <w:b/>
              </w:rPr>
              <w:t>及规范填报的</w:t>
            </w:r>
            <w:r w:rsidR="009E59FA">
              <w:rPr>
                <w:rFonts w:hint="eastAsia"/>
                <w:b/>
              </w:rPr>
              <w:t>修订</w:t>
            </w:r>
            <w:r w:rsidR="00A0282B">
              <w:rPr>
                <w:rFonts w:hint="eastAsia"/>
                <w:b/>
              </w:rPr>
              <w:t>内容</w:t>
            </w:r>
          </w:p>
        </w:tc>
      </w:tr>
      <w:tr w:rsidR="00AF76EF" w14:paraId="0B917021" w14:textId="77777777" w:rsidTr="008C50FA">
        <w:tc>
          <w:tcPr>
            <w:tcW w:w="535" w:type="dxa"/>
          </w:tcPr>
          <w:p w14:paraId="059FEAC8" w14:textId="77777777" w:rsidR="00A82211" w:rsidRDefault="00A82211" w:rsidP="003B21DB">
            <w:pPr>
              <w:jc w:val="center"/>
            </w:pPr>
            <w:r>
              <w:rPr>
                <w:rFonts w:hint="eastAsia"/>
              </w:rPr>
              <w:t>编号</w:t>
            </w:r>
          </w:p>
        </w:tc>
        <w:tc>
          <w:tcPr>
            <w:tcW w:w="1308" w:type="dxa"/>
            <w:vAlign w:val="center"/>
          </w:tcPr>
          <w:p w14:paraId="62FEBCD1" w14:textId="77777777" w:rsidR="00A82211" w:rsidRDefault="00A82211" w:rsidP="003B21DB">
            <w:pPr>
              <w:jc w:val="center"/>
            </w:pPr>
            <w:r>
              <w:rPr>
                <w:rFonts w:hint="eastAsia"/>
              </w:rPr>
              <w:t>修订内容</w:t>
            </w:r>
          </w:p>
        </w:tc>
        <w:tc>
          <w:tcPr>
            <w:tcW w:w="1560" w:type="dxa"/>
            <w:gridSpan w:val="2"/>
            <w:vAlign w:val="center"/>
          </w:tcPr>
          <w:p w14:paraId="619E86AC" w14:textId="77777777" w:rsidR="00A82211" w:rsidRDefault="00A82211" w:rsidP="003B21DB">
            <w:pPr>
              <w:jc w:val="center"/>
            </w:pPr>
            <w:r>
              <w:rPr>
                <w:rFonts w:hint="eastAsia"/>
              </w:rPr>
              <w:t>修订原因</w:t>
            </w:r>
          </w:p>
        </w:tc>
        <w:tc>
          <w:tcPr>
            <w:tcW w:w="992" w:type="dxa"/>
            <w:gridSpan w:val="2"/>
            <w:vAlign w:val="center"/>
          </w:tcPr>
          <w:p w14:paraId="19A17224" w14:textId="77777777" w:rsidR="00A82211" w:rsidRDefault="00A82211" w:rsidP="003B21DB">
            <w:pPr>
              <w:jc w:val="center"/>
            </w:pPr>
            <w:r>
              <w:rPr>
                <w:rFonts w:hint="eastAsia"/>
              </w:rPr>
              <w:t>报表类型</w:t>
            </w:r>
          </w:p>
        </w:tc>
        <w:tc>
          <w:tcPr>
            <w:tcW w:w="4111" w:type="dxa"/>
            <w:gridSpan w:val="2"/>
            <w:vAlign w:val="center"/>
          </w:tcPr>
          <w:p w14:paraId="61A49A01" w14:textId="77777777" w:rsidR="00A82211" w:rsidRDefault="00A82211" w:rsidP="003B21DB">
            <w:pPr>
              <w:jc w:val="center"/>
            </w:pPr>
            <w:r>
              <w:rPr>
                <w:rFonts w:hint="eastAsia"/>
              </w:rPr>
              <w:t>基表</w:t>
            </w:r>
            <w:r w:rsidR="00931036">
              <w:rPr>
                <w:rFonts w:hint="eastAsia"/>
              </w:rPr>
              <w:t>、</w:t>
            </w:r>
            <w:proofErr w:type="gramStart"/>
            <w:r w:rsidR="00662F66">
              <w:rPr>
                <w:rFonts w:hint="eastAsia"/>
              </w:rPr>
              <w:t>综表</w:t>
            </w:r>
            <w:r>
              <w:rPr>
                <w:rFonts w:hint="eastAsia"/>
              </w:rPr>
              <w:t>列表</w:t>
            </w:r>
            <w:proofErr w:type="gramEnd"/>
            <w:r>
              <w:rPr>
                <w:rFonts w:hint="eastAsia"/>
              </w:rPr>
              <w:t xml:space="preserve"> </w:t>
            </w:r>
          </w:p>
        </w:tc>
        <w:tc>
          <w:tcPr>
            <w:tcW w:w="5386" w:type="dxa"/>
            <w:vAlign w:val="center"/>
          </w:tcPr>
          <w:p w14:paraId="02B50AC8" w14:textId="77777777" w:rsidR="00A82211" w:rsidRDefault="00662F66" w:rsidP="003B21DB">
            <w:pPr>
              <w:jc w:val="center"/>
            </w:pPr>
            <w:r>
              <w:rPr>
                <w:rFonts w:hint="eastAsia"/>
              </w:rPr>
              <w:t>修订描述</w:t>
            </w:r>
          </w:p>
        </w:tc>
        <w:tc>
          <w:tcPr>
            <w:tcW w:w="1076" w:type="dxa"/>
            <w:gridSpan w:val="2"/>
            <w:vAlign w:val="center"/>
          </w:tcPr>
          <w:p w14:paraId="766B5C24" w14:textId="0ED213A6" w:rsidR="00A82211" w:rsidRDefault="004535D1" w:rsidP="003B21DB">
            <w:pPr>
              <w:jc w:val="center"/>
            </w:pPr>
            <w:r>
              <w:rPr>
                <w:rFonts w:hint="eastAsia"/>
              </w:rPr>
              <w:t>修订</w:t>
            </w:r>
            <w:r w:rsidR="00A82211">
              <w:rPr>
                <w:rFonts w:hint="eastAsia"/>
              </w:rPr>
              <w:t>报表数</w:t>
            </w:r>
          </w:p>
          <w:p w14:paraId="541A5D11" w14:textId="3B81A944" w:rsidR="00A82211" w:rsidRDefault="00A82211" w:rsidP="000C7BB8">
            <w:r>
              <w:rPr>
                <w:rFonts w:hint="eastAsia"/>
              </w:rPr>
              <w:t>（基</w:t>
            </w:r>
            <w:r w:rsidR="00C65CC9">
              <w:t xml:space="preserve"> </w:t>
            </w:r>
            <w:r w:rsidR="00811F72">
              <w:t>23</w:t>
            </w:r>
            <w:r>
              <w:rPr>
                <w:rFonts w:hint="eastAsia"/>
              </w:rPr>
              <w:t>）</w:t>
            </w:r>
          </w:p>
          <w:p w14:paraId="7683D416" w14:textId="77D095B4" w:rsidR="003B1ACE" w:rsidRDefault="007601CC" w:rsidP="00867E1E">
            <w:pPr>
              <w:jc w:val="center"/>
            </w:pPr>
            <w:r>
              <w:rPr>
                <w:rFonts w:hint="eastAsia"/>
              </w:rPr>
              <w:t>程序</w:t>
            </w:r>
          </w:p>
          <w:p w14:paraId="180C18CC" w14:textId="77777777" w:rsidR="007601CC" w:rsidRPr="00867E1E" w:rsidRDefault="007601CC" w:rsidP="00867E1E">
            <w:pPr>
              <w:jc w:val="center"/>
            </w:pPr>
          </w:p>
          <w:p w14:paraId="0FBAC7D8" w14:textId="0F2D3B28" w:rsidR="00867E1E" w:rsidRPr="00867E1E" w:rsidRDefault="00867E1E" w:rsidP="00441D9E">
            <w:pPr>
              <w:jc w:val="center"/>
            </w:pPr>
          </w:p>
        </w:tc>
      </w:tr>
      <w:tr w:rsidR="00AF76EF" w14:paraId="14A15D3E" w14:textId="77777777" w:rsidTr="008C50FA">
        <w:trPr>
          <w:trHeight w:val="2400"/>
        </w:trPr>
        <w:tc>
          <w:tcPr>
            <w:tcW w:w="535" w:type="dxa"/>
          </w:tcPr>
          <w:p w14:paraId="3D955176" w14:textId="49DED417" w:rsidR="00093781" w:rsidRDefault="000C7BB8" w:rsidP="003B21DB">
            <w:pPr>
              <w:jc w:val="left"/>
            </w:pPr>
            <w:r>
              <w:rPr>
                <w:highlight w:val="yellow"/>
              </w:rPr>
              <w:t>1</w:t>
            </w:r>
          </w:p>
        </w:tc>
        <w:tc>
          <w:tcPr>
            <w:tcW w:w="1308" w:type="dxa"/>
          </w:tcPr>
          <w:p w14:paraId="2462DF01" w14:textId="672C4112" w:rsidR="00093781" w:rsidRPr="00093781" w:rsidRDefault="00A46E9E" w:rsidP="00326E97">
            <w:pPr>
              <w:jc w:val="left"/>
            </w:pPr>
            <w:r w:rsidRPr="00A46E9E">
              <w:rPr>
                <w:rFonts w:hint="eastAsia"/>
              </w:rPr>
              <w:t>统筹全日制和非全日制</w:t>
            </w:r>
            <w:r w:rsidRPr="00A46E9E">
              <w:rPr>
                <w:rFonts w:hint="eastAsia"/>
              </w:rPr>
              <w:br/>
            </w:r>
            <w:r w:rsidRPr="00A46E9E">
              <w:rPr>
                <w:rFonts w:hint="eastAsia"/>
              </w:rPr>
              <w:t>研究生管理</w:t>
            </w:r>
          </w:p>
        </w:tc>
        <w:tc>
          <w:tcPr>
            <w:tcW w:w="1560" w:type="dxa"/>
            <w:gridSpan w:val="2"/>
          </w:tcPr>
          <w:p w14:paraId="5195C984" w14:textId="77777777" w:rsidR="00A46E9E" w:rsidRPr="00A46E9E" w:rsidRDefault="00A46E9E" w:rsidP="00A46E9E">
            <w:pPr>
              <w:jc w:val="left"/>
            </w:pPr>
            <w:r w:rsidRPr="00A46E9E">
              <w:rPr>
                <w:rFonts w:hint="eastAsia"/>
              </w:rPr>
              <w:t>教育部办公厅关于统筹全日制和非全日制</w:t>
            </w:r>
            <w:r w:rsidRPr="00A46E9E">
              <w:rPr>
                <w:rFonts w:hint="eastAsia"/>
              </w:rPr>
              <w:br/>
            </w:r>
            <w:r w:rsidRPr="00A46E9E">
              <w:rPr>
                <w:rFonts w:hint="eastAsia"/>
              </w:rPr>
              <w:t>研究生管理工作的通知</w:t>
            </w:r>
          </w:p>
          <w:p w14:paraId="0011F99E" w14:textId="27808E32" w:rsidR="00093781" w:rsidRDefault="00A46E9E" w:rsidP="003B21DB">
            <w:pPr>
              <w:jc w:val="left"/>
              <w:rPr>
                <w:rFonts w:hint="eastAsia"/>
              </w:rPr>
            </w:pPr>
            <w:r w:rsidRPr="00A46E9E">
              <w:rPr>
                <w:rFonts w:hint="eastAsia"/>
              </w:rPr>
              <w:t>教研厅</w:t>
            </w:r>
            <w:r w:rsidRPr="00A46E9E">
              <w:rPr>
                <w:rFonts w:hint="eastAsia"/>
              </w:rPr>
              <w:t>[2016]2</w:t>
            </w:r>
            <w:r w:rsidRPr="00A46E9E">
              <w:rPr>
                <w:rFonts w:hint="eastAsia"/>
              </w:rPr>
              <w:t>号</w:t>
            </w:r>
          </w:p>
        </w:tc>
        <w:tc>
          <w:tcPr>
            <w:tcW w:w="567" w:type="dxa"/>
            <w:vAlign w:val="center"/>
          </w:tcPr>
          <w:p w14:paraId="4CA1C41E" w14:textId="7D525038" w:rsidR="00093781" w:rsidRDefault="004F0DE2" w:rsidP="003B21DB">
            <w:pPr>
              <w:jc w:val="center"/>
            </w:pPr>
            <w:r>
              <w:rPr>
                <w:rFonts w:hint="eastAsia"/>
              </w:rPr>
              <w:t>高教</w:t>
            </w:r>
          </w:p>
        </w:tc>
        <w:tc>
          <w:tcPr>
            <w:tcW w:w="425" w:type="dxa"/>
            <w:vAlign w:val="center"/>
          </w:tcPr>
          <w:p w14:paraId="74ED82B2" w14:textId="6673455E" w:rsidR="00093781" w:rsidRPr="00E359E5" w:rsidRDefault="00093781" w:rsidP="003B21DB">
            <w:pPr>
              <w:jc w:val="center"/>
            </w:pPr>
            <w:r>
              <w:rPr>
                <w:rFonts w:hint="eastAsia"/>
              </w:rPr>
              <w:t>基表</w:t>
            </w:r>
          </w:p>
        </w:tc>
        <w:tc>
          <w:tcPr>
            <w:tcW w:w="4111" w:type="dxa"/>
            <w:gridSpan w:val="2"/>
          </w:tcPr>
          <w:p w14:paraId="52806132" w14:textId="77777777" w:rsidR="002B1257" w:rsidRDefault="002B1257" w:rsidP="002B1257">
            <w:pPr>
              <w:jc w:val="left"/>
            </w:pPr>
            <w:r w:rsidRPr="001048A0">
              <w:rPr>
                <w:rFonts w:hint="eastAsia"/>
              </w:rPr>
              <w:t>高基</w:t>
            </w:r>
            <w:r w:rsidRPr="001048A0">
              <w:rPr>
                <w:rFonts w:hint="eastAsia"/>
              </w:rPr>
              <w:t>317</w:t>
            </w:r>
            <w:r w:rsidRPr="001048A0">
              <w:rPr>
                <w:rFonts w:hint="eastAsia"/>
              </w:rPr>
              <w:t>硕士研究生分专业（领域）学生数</w:t>
            </w:r>
          </w:p>
          <w:p w14:paraId="3444E2AF" w14:textId="38C24515" w:rsidR="002B1257" w:rsidRDefault="002B1257" w:rsidP="002B1257">
            <w:pPr>
              <w:jc w:val="left"/>
            </w:pPr>
            <w:r w:rsidRPr="001048A0">
              <w:rPr>
                <w:rFonts w:hint="eastAsia"/>
              </w:rPr>
              <w:t>高基</w:t>
            </w:r>
            <w:r w:rsidRPr="001048A0">
              <w:rPr>
                <w:rFonts w:hint="eastAsia"/>
              </w:rPr>
              <w:t>318</w:t>
            </w:r>
            <w:r w:rsidRPr="001048A0">
              <w:rPr>
                <w:rFonts w:hint="eastAsia"/>
              </w:rPr>
              <w:t>博士研究生分专业（领域）学生数</w:t>
            </w:r>
          </w:p>
          <w:p w14:paraId="52B3F760" w14:textId="77777777" w:rsidR="00093781" w:rsidRDefault="002B1257" w:rsidP="00A46E9E">
            <w:pPr>
              <w:jc w:val="left"/>
            </w:pPr>
            <w:r w:rsidRPr="002B1257">
              <w:rPr>
                <w:rFonts w:hint="eastAsia"/>
              </w:rPr>
              <w:t>高基</w:t>
            </w:r>
            <w:r w:rsidRPr="002B1257">
              <w:rPr>
                <w:rFonts w:hint="eastAsia"/>
              </w:rPr>
              <w:t>351</w:t>
            </w:r>
            <w:r w:rsidRPr="002B1257">
              <w:rPr>
                <w:rFonts w:hint="eastAsia"/>
              </w:rPr>
              <w:t>在职人员攻读硕士学位分专业（领域）学生数</w:t>
            </w:r>
          </w:p>
          <w:p w14:paraId="56BBDF4C" w14:textId="3C35A909" w:rsidR="00A46E9E" w:rsidRPr="00BB4A7A" w:rsidRDefault="00A46E9E" w:rsidP="00A46E9E">
            <w:pPr>
              <w:jc w:val="left"/>
              <w:rPr>
                <w:rFonts w:hint="eastAsia"/>
              </w:rPr>
            </w:pPr>
            <w:bookmarkStart w:id="0" w:name="_GoBack"/>
            <w:bookmarkEnd w:id="0"/>
          </w:p>
        </w:tc>
        <w:tc>
          <w:tcPr>
            <w:tcW w:w="5386" w:type="dxa"/>
            <w:tcBorders>
              <w:bottom w:val="single" w:sz="4" w:space="0" w:color="auto"/>
            </w:tcBorders>
          </w:tcPr>
          <w:p w14:paraId="0BB57CEA" w14:textId="6BE122E0" w:rsidR="00BB4A7A" w:rsidRPr="00093781" w:rsidRDefault="000F15D1" w:rsidP="00BB4A7A">
            <w:pPr>
              <w:jc w:val="left"/>
            </w:pPr>
            <w:r>
              <w:rPr>
                <w:rFonts w:ascii="宋体" w:eastAsia="宋体" w:hAnsi="宋体" w:cs="Times New Roman" w:hint="eastAsia"/>
                <w:sz w:val="18"/>
              </w:rPr>
              <w:t>1、将原“学术型学位”修正为“学术学位”</w:t>
            </w:r>
          </w:p>
          <w:p w14:paraId="7899A5A4" w14:textId="52B43E9A" w:rsidR="0099571B" w:rsidRDefault="002B1257" w:rsidP="00990AAE">
            <w:pPr>
              <w:jc w:val="left"/>
              <w:rPr>
                <w:rFonts w:ascii="宋体" w:eastAsia="宋体" w:hAnsi="宋体" w:cs="Times New Roman"/>
                <w:sz w:val="18"/>
              </w:rPr>
            </w:pPr>
            <w:r>
              <w:t>2</w:t>
            </w:r>
            <w:r>
              <w:t>、</w:t>
            </w:r>
            <w:r w:rsidR="00A46E9E" w:rsidRPr="00A46E9E">
              <w:rPr>
                <w:rFonts w:ascii="宋体" w:eastAsia="宋体" w:hAnsi="宋体" w:cs="Times New Roman" w:hint="eastAsia"/>
                <w:sz w:val="18"/>
              </w:rPr>
              <w:t>2016年11月30日前录取的研究生按原有规定执行；2016年12月1日后录取的研究生从培养方式上按全日制和非全日制形式区分。</w:t>
            </w:r>
          </w:p>
          <w:p w14:paraId="3F0938D3" w14:textId="69DA591D" w:rsidR="008D5C17" w:rsidRDefault="008D5C17" w:rsidP="00990AAE">
            <w:pPr>
              <w:jc w:val="left"/>
              <w:rPr>
                <w:rFonts w:ascii="宋体" w:eastAsia="宋体" w:hAnsi="宋体" w:cs="Times New Roman"/>
                <w:sz w:val="18"/>
              </w:rPr>
            </w:pPr>
            <w:r>
              <w:rPr>
                <w:rFonts w:ascii="宋体" w:eastAsia="宋体" w:hAnsi="宋体" w:cs="Times New Roman"/>
                <w:sz w:val="18"/>
              </w:rPr>
              <w:t>3、</w:t>
            </w:r>
            <w:r>
              <w:rPr>
                <w:rFonts w:ascii="宋体" w:eastAsia="宋体" w:hAnsi="宋体" w:cs="Times New Roman" w:hint="eastAsia"/>
                <w:sz w:val="18"/>
              </w:rPr>
              <w:t>填表范例和流程图依据以上原则修订</w:t>
            </w:r>
          </w:p>
          <w:p w14:paraId="5FD5CB3F" w14:textId="27E30C80" w:rsidR="00CE3945" w:rsidRDefault="00CE3945" w:rsidP="00990AAE">
            <w:pPr>
              <w:jc w:val="left"/>
              <w:rPr>
                <w:rFonts w:ascii="宋体" w:eastAsia="宋体" w:hAnsi="宋体" w:cs="Times New Roman"/>
                <w:sz w:val="18"/>
              </w:rPr>
            </w:pPr>
            <w:r>
              <w:rPr>
                <w:rFonts w:ascii="宋体" w:eastAsia="宋体" w:hAnsi="宋体" w:cs="Times New Roman" w:hint="eastAsia"/>
                <w:sz w:val="18"/>
              </w:rPr>
              <w:t xml:space="preserve">  </w:t>
            </w:r>
          </w:p>
          <w:p w14:paraId="00725189" w14:textId="40E48824" w:rsidR="00CE3945" w:rsidRPr="002B1257" w:rsidRDefault="00CE3945" w:rsidP="00990AAE">
            <w:pPr>
              <w:jc w:val="left"/>
            </w:pPr>
          </w:p>
        </w:tc>
        <w:tc>
          <w:tcPr>
            <w:tcW w:w="1076" w:type="dxa"/>
            <w:gridSpan w:val="2"/>
          </w:tcPr>
          <w:p w14:paraId="46AF7E14" w14:textId="50AF4B28" w:rsidR="002938C2" w:rsidRDefault="002938C2" w:rsidP="002938C2">
            <w:pPr>
              <w:jc w:val="left"/>
            </w:pPr>
            <w:r>
              <w:rPr>
                <w:rFonts w:hint="eastAsia"/>
              </w:rPr>
              <w:t>基表</w:t>
            </w:r>
            <w:r w:rsidR="00326E97">
              <w:t xml:space="preserve"> </w:t>
            </w:r>
            <w:r w:rsidR="008D5C17">
              <w:t>3</w:t>
            </w:r>
          </w:p>
          <w:p w14:paraId="3CAEAFF7" w14:textId="031E78D8" w:rsidR="00093781" w:rsidRDefault="00093781" w:rsidP="00326E97">
            <w:pPr>
              <w:jc w:val="left"/>
            </w:pPr>
          </w:p>
        </w:tc>
      </w:tr>
      <w:tr w:rsidR="00CF1B8C" w14:paraId="5F4586C9" w14:textId="77777777" w:rsidTr="008C50FA">
        <w:trPr>
          <w:trHeight w:val="1095"/>
        </w:trPr>
        <w:tc>
          <w:tcPr>
            <w:tcW w:w="535" w:type="dxa"/>
          </w:tcPr>
          <w:p w14:paraId="63381F83" w14:textId="58A70494" w:rsidR="00CF1B8C" w:rsidRPr="00D93B96" w:rsidRDefault="000C7BB8" w:rsidP="00CF1B8C">
            <w:pPr>
              <w:jc w:val="left"/>
              <w:rPr>
                <w:highlight w:val="yellow"/>
              </w:rPr>
            </w:pPr>
            <w:r>
              <w:rPr>
                <w:highlight w:val="yellow"/>
              </w:rPr>
              <w:t>2</w:t>
            </w:r>
          </w:p>
        </w:tc>
        <w:tc>
          <w:tcPr>
            <w:tcW w:w="1308" w:type="dxa"/>
          </w:tcPr>
          <w:p w14:paraId="7B1DD74D" w14:textId="6F7526CA" w:rsidR="00CF1B8C" w:rsidRDefault="00D93B96" w:rsidP="00CF1B8C">
            <w:pPr>
              <w:jc w:val="left"/>
            </w:pPr>
            <w:proofErr w:type="gramStart"/>
            <w:r>
              <w:rPr>
                <w:rFonts w:hint="eastAsia"/>
              </w:rPr>
              <w:t>修订</w:t>
            </w:r>
            <w:r w:rsidR="0061246F" w:rsidRPr="00D93B96">
              <w:rPr>
                <w:rFonts w:hint="eastAsia"/>
              </w:rPr>
              <w:t>高</w:t>
            </w:r>
            <w:proofErr w:type="gramEnd"/>
            <w:r w:rsidR="0061246F" w:rsidRPr="00D93B96">
              <w:rPr>
                <w:rFonts w:hint="eastAsia"/>
              </w:rPr>
              <w:t>基</w:t>
            </w:r>
            <w:r w:rsidR="0061246F" w:rsidRPr="00D93B96">
              <w:rPr>
                <w:rFonts w:hint="eastAsia"/>
              </w:rPr>
              <w:t>941</w:t>
            </w:r>
            <w:r w:rsidR="0061246F">
              <w:rPr>
                <w:rFonts w:hint="eastAsia"/>
              </w:rPr>
              <w:t>、</w:t>
            </w:r>
            <w:r w:rsidR="0061246F">
              <w:rPr>
                <w:rFonts w:hint="eastAsia"/>
              </w:rPr>
              <w:t>942</w:t>
            </w:r>
            <w:r w:rsidR="0061246F">
              <w:rPr>
                <w:rFonts w:hint="eastAsia"/>
              </w:rPr>
              <w:t>、</w:t>
            </w:r>
            <w:r w:rsidR="0061246F">
              <w:rPr>
                <w:rFonts w:hint="eastAsia"/>
              </w:rPr>
              <w:t>943</w:t>
            </w:r>
            <w:r w:rsidR="0061246F">
              <w:rPr>
                <w:rFonts w:hint="eastAsia"/>
              </w:rPr>
              <w:t>、</w:t>
            </w:r>
            <w:r w:rsidR="0061246F">
              <w:rPr>
                <w:rFonts w:hint="eastAsia"/>
              </w:rPr>
              <w:t>944</w:t>
            </w:r>
            <w:r w:rsidR="00151284">
              <w:rPr>
                <w:rFonts w:hint="eastAsia"/>
              </w:rPr>
              <w:t>、</w:t>
            </w:r>
            <w:proofErr w:type="gramStart"/>
            <w:r w:rsidR="00151284" w:rsidRPr="008469BE">
              <w:rPr>
                <w:rFonts w:hint="eastAsia"/>
              </w:rPr>
              <w:t>高等省基</w:t>
            </w:r>
            <w:proofErr w:type="gramEnd"/>
            <w:r w:rsidR="00151284" w:rsidRPr="008469BE">
              <w:rPr>
                <w:rFonts w:hint="eastAsia"/>
              </w:rPr>
              <w:t>2</w:t>
            </w:r>
            <w:r w:rsidR="0061246F">
              <w:rPr>
                <w:rFonts w:hint="eastAsia"/>
              </w:rPr>
              <w:t>表</w:t>
            </w:r>
          </w:p>
        </w:tc>
        <w:tc>
          <w:tcPr>
            <w:tcW w:w="1560" w:type="dxa"/>
            <w:gridSpan w:val="2"/>
          </w:tcPr>
          <w:p w14:paraId="42D9A8B2" w14:textId="36CBEC2A" w:rsidR="00CF1B8C" w:rsidRPr="00B568E2" w:rsidRDefault="0061246F" w:rsidP="0061246F">
            <w:pPr>
              <w:jc w:val="left"/>
            </w:pPr>
            <w:r>
              <w:rPr>
                <w:rFonts w:hint="eastAsia"/>
              </w:rPr>
              <w:t>根据</w:t>
            </w:r>
            <w:r>
              <w:rPr>
                <w:rFonts w:hint="eastAsia"/>
              </w:rPr>
              <w:t>2016</w:t>
            </w:r>
            <w:r>
              <w:rPr>
                <w:rFonts w:hint="eastAsia"/>
              </w:rPr>
              <w:t>年报表填报存在的问题和数据使用过程存在缺陷进一步规范报表</w:t>
            </w:r>
          </w:p>
        </w:tc>
        <w:tc>
          <w:tcPr>
            <w:tcW w:w="567" w:type="dxa"/>
            <w:vAlign w:val="center"/>
          </w:tcPr>
          <w:p w14:paraId="33299B18" w14:textId="3AFC1D20" w:rsidR="00CF1B8C" w:rsidRDefault="00D93B96" w:rsidP="00CF1B8C">
            <w:pPr>
              <w:jc w:val="center"/>
            </w:pPr>
            <w:r>
              <w:rPr>
                <w:rFonts w:hint="eastAsia"/>
              </w:rPr>
              <w:t>高教</w:t>
            </w:r>
          </w:p>
        </w:tc>
        <w:tc>
          <w:tcPr>
            <w:tcW w:w="425" w:type="dxa"/>
            <w:vAlign w:val="center"/>
          </w:tcPr>
          <w:p w14:paraId="5E2FA6CF" w14:textId="5DCC8B13" w:rsidR="00CF1B8C" w:rsidRDefault="00D93B96" w:rsidP="00CF1B8C">
            <w:pPr>
              <w:jc w:val="center"/>
            </w:pPr>
            <w:r>
              <w:rPr>
                <w:rFonts w:hint="eastAsia"/>
              </w:rPr>
              <w:t>基表</w:t>
            </w:r>
          </w:p>
        </w:tc>
        <w:tc>
          <w:tcPr>
            <w:tcW w:w="4111" w:type="dxa"/>
            <w:gridSpan w:val="2"/>
          </w:tcPr>
          <w:p w14:paraId="43E54C41" w14:textId="77777777" w:rsidR="00D93B96" w:rsidRPr="00D93B96" w:rsidRDefault="00D93B96" w:rsidP="00D93B96">
            <w:pPr>
              <w:jc w:val="left"/>
            </w:pPr>
            <w:r w:rsidRPr="00D93B96">
              <w:rPr>
                <w:rFonts w:hint="eastAsia"/>
              </w:rPr>
              <w:t>高基</w:t>
            </w:r>
            <w:r w:rsidRPr="00D93B96">
              <w:rPr>
                <w:rFonts w:hint="eastAsia"/>
              </w:rPr>
              <w:t xml:space="preserve">941 </w:t>
            </w:r>
            <w:r w:rsidRPr="00D93B96">
              <w:rPr>
                <w:rFonts w:hint="eastAsia"/>
              </w:rPr>
              <w:t>普通专科生、普通预科生录取来源情况</w:t>
            </w:r>
          </w:p>
          <w:p w14:paraId="2E22E247" w14:textId="77777777" w:rsidR="00D93B96" w:rsidRPr="00D93B96" w:rsidRDefault="00D93B96" w:rsidP="00D93B96">
            <w:pPr>
              <w:jc w:val="left"/>
            </w:pPr>
            <w:r w:rsidRPr="00D93B96">
              <w:rPr>
                <w:rFonts w:hint="eastAsia"/>
              </w:rPr>
              <w:t>高基</w:t>
            </w:r>
            <w:r w:rsidRPr="00D93B96">
              <w:rPr>
                <w:rFonts w:hint="eastAsia"/>
              </w:rPr>
              <w:t xml:space="preserve">942 </w:t>
            </w:r>
            <w:r w:rsidRPr="00D93B96">
              <w:rPr>
                <w:rFonts w:hint="eastAsia"/>
              </w:rPr>
              <w:t>普通本科生、普通预科生录取来源情况</w:t>
            </w:r>
          </w:p>
          <w:p w14:paraId="1448D5D3" w14:textId="2CD57CC6" w:rsidR="00D93B96" w:rsidRPr="00D93B96" w:rsidRDefault="00D93B96" w:rsidP="00D93B96">
            <w:pPr>
              <w:jc w:val="left"/>
            </w:pPr>
            <w:r w:rsidRPr="00D93B96">
              <w:rPr>
                <w:rFonts w:hint="eastAsia"/>
              </w:rPr>
              <w:t>高基</w:t>
            </w:r>
            <w:r w:rsidRPr="00D93B96">
              <w:rPr>
                <w:rFonts w:hint="eastAsia"/>
              </w:rPr>
              <w:t xml:space="preserve">943 </w:t>
            </w:r>
            <w:r w:rsidRPr="00D93B96">
              <w:rPr>
                <w:rFonts w:hint="eastAsia"/>
              </w:rPr>
              <w:t>普通专科生、普通预科生招生来源情况</w:t>
            </w:r>
          </w:p>
          <w:p w14:paraId="651F2ACA" w14:textId="3E8E8983" w:rsidR="00CF1B8C" w:rsidRPr="007D6B39" w:rsidRDefault="00D93B96" w:rsidP="007D6B39">
            <w:pPr>
              <w:jc w:val="left"/>
              <w:rPr>
                <w:rFonts w:hint="eastAsia"/>
              </w:rPr>
            </w:pPr>
            <w:r w:rsidRPr="00D93B96">
              <w:rPr>
                <w:rFonts w:hint="eastAsia"/>
              </w:rPr>
              <w:t>高基</w:t>
            </w:r>
            <w:r w:rsidRPr="00D93B96">
              <w:rPr>
                <w:rFonts w:hint="eastAsia"/>
              </w:rPr>
              <w:t xml:space="preserve">944 </w:t>
            </w:r>
            <w:r w:rsidRPr="00D93B96">
              <w:rPr>
                <w:rFonts w:hint="eastAsia"/>
              </w:rPr>
              <w:t>普通本科生、普通预科生招生来源情况</w:t>
            </w:r>
            <w:r w:rsidRPr="00D93B96">
              <w:rPr>
                <w:rFonts w:hint="eastAsia"/>
              </w:rPr>
              <w:t xml:space="preserve">   </w:t>
            </w:r>
          </w:p>
        </w:tc>
        <w:tc>
          <w:tcPr>
            <w:tcW w:w="5386" w:type="dxa"/>
            <w:tcBorders>
              <w:top w:val="nil"/>
            </w:tcBorders>
          </w:tcPr>
          <w:p w14:paraId="77B96E2E" w14:textId="747FA217" w:rsidR="00CF1B8C" w:rsidRPr="0069590C" w:rsidRDefault="001F6398" w:rsidP="001E32C0">
            <w:pPr>
              <w:widowControl/>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和2016年相比，</w:t>
            </w:r>
            <w:r w:rsidR="00E75E92">
              <w:rPr>
                <w:rFonts w:ascii="宋体" w:hAnsi="宋体" w:cs="宋体" w:hint="eastAsia"/>
                <w:kern w:val="0"/>
                <w:sz w:val="18"/>
                <w:szCs w:val="18"/>
              </w:rPr>
              <w:t>941、942</w:t>
            </w:r>
            <w:r w:rsidR="001E32C0">
              <w:rPr>
                <w:rFonts w:ascii="宋体" w:hAnsi="宋体" w:cs="宋体" w:hint="eastAsia"/>
                <w:kern w:val="0"/>
                <w:sz w:val="18"/>
                <w:szCs w:val="18"/>
              </w:rPr>
              <w:t>、</w:t>
            </w:r>
            <w:r w:rsidR="00E75E92">
              <w:rPr>
                <w:rFonts w:ascii="宋体" w:hAnsi="宋体" w:cs="宋体" w:hint="eastAsia"/>
                <w:kern w:val="0"/>
                <w:sz w:val="18"/>
                <w:szCs w:val="18"/>
              </w:rPr>
              <w:t>表</w:t>
            </w:r>
            <w:r>
              <w:rPr>
                <w:rFonts w:ascii="宋体" w:hAnsi="宋体" w:cs="宋体" w:hint="eastAsia"/>
                <w:kern w:val="0"/>
                <w:sz w:val="18"/>
                <w:szCs w:val="18"/>
              </w:rPr>
              <w:t>将普通预科生的录取数与普通本专科</w:t>
            </w:r>
            <w:r w:rsidR="001E32C0">
              <w:rPr>
                <w:rFonts w:ascii="宋体" w:hAnsi="宋体" w:cs="宋体" w:hint="eastAsia"/>
                <w:kern w:val="0"/>
                <w:sz w:val="18"/>
                <w:szCs w:val="18"/>
              </w:rPr>
              <w:t>的录取数</w:t>
            </w:r>
            <w:r>
              <w:rPr>
                <w:rFonts w:ascii="宋体" w:hAnsi="宋体" w:cs="宋体" w:hint="eastAsia"/>
                <w:kern w:val="0"/>
                <w:sz w:val="18"/>
                <w:szCs w:val="18"/>
              </w:rPr>
              <w:t>分</w:t>
            </w:r>
            <w:r w:rsidR="001E32C0">
              <w:rPr>
                <w:rFonts w:ascii="宋体" w:hAnsi="宋体" w:cs="宋体" w:hint="eastAsia"/>
                <w:kern w:val="0"/>
                <w:sz w:val="18"/>
                <w:szCs w:val="18"/>
              </w:rPr>
              <w:t>为两部分单独</w:t>
            </w:r>
            <w:r>
              <w:rPr>
                <w:rFonts w:ascii="宋体" w:hAnsi="宋体" w:cs="宋体" w:hint="eastAsia"/>
                <w:kern w:val="0"/>
                <w:sz w:val="18"/>
                <w:szCs w:val="18"/>
              </w:rPr>
              <w:t>填报（2016年录取</w:t>
            </w:r>
            <w:r w:rsidR="00E75E92">
              <w:rPr>
                <w:rFonts w:ascii="宋体" w:hAnsi="宋体" w:cs="宋体" w:hint="eastAsia"/>
                <w:kern w:val="0"/>
                <w:sz w:val="18"/>
                <w:szCs w:val="18"/>
              </w:rPr>
              <w:t>数中包含“普通预科生”</w:t>
            </w:r>
            <w:r>
              <w:rPr>
                <w:rFonts w:ascii="宋体" w:hAnsi="宋体" w:cs="宋体" w:hint="eastAsia"/>
                <w:kern w:val="0"/>
                <w:sz w:val="18"/>
                <w:szCs w:val="18"/>
              </w:rPr>
              <w:t>）</w:t>
            </w:r>
            <w:r w:rsidR="00E75E92">
              <w:rPr>
                <w:rFonts w:ascii="宋体" w:hAnsi="宋体" w:cs="宋体" w:hint="eastAsia"/>
                <w:kern w:val="0"/>
                <w:sz w:val="18"/>
                <w:szCs w:val="18"/>
              </w:rPr>
              <w:t>，</w:t>
            </w:r>
            <w:r w:rsidR="001E32C0">
              <w:rPr>
                <w:rFonts w:ascii="宋体" w:hAnsi="宋体" w:cs="宋体" w:hint="eastAsia"/>
                <w:kern w:val="0"/>
                <w:sz w:val="18"/>
                <w:szCs w:val="18"/>
              </w:rPr>
              <w:t>943、944表的普通预科生的招生数与普通本专科的招生数分为两部分单独填报，同时，进一步明确了各类学生的规范填报</w:t>
            </w:r>
          </w:p>
        </w:tc>
        <w:tc>
          <w:tcPr>
            <w:tcW w:w="1076" w:type="dxa"/>
            <w:gridSpan w:val="2"/>
          </w:tcPr>
          <w:p w14:paraId="20D31DCE" w14:textId="0EBF8F85" w:rsidR="00CF1B8C" w:rsidRDefault="00CF1B8C" w:rsidP="00CF1B8C">
            <w:pPr>
              <w:jc w:val="left"/>
            </w:pPr>
            <w:r>
              <w:rPr>
                <w:rFonts w:hint="eastAsia"/>
              </w:rPr>
              <w:t>基表</w:t>
            </w:r>
            <w:r w:rsidR="00F5380E">
              <w:rPr>
                <w:rFonts w:hint="eastAsia"/>
              </w:rPr>
              <w:t>5</w:t>
            </w:r>
          </w:p>
          <w:p w14:paraId="1FC4E302" w14:textId="3F054FA7" w:rsidR="00CF1B8C" w:rsidRDefault="00CF1B8C" w:rsidP="008D5C17">
            <w:pPr>
              <w:jc w:val="left"/>
            </w:pPr>
          </w:p>
        </w:tc>
      </w:tr>
      <w:tr w:rsidR="00887674" w14:paraId="5EA9F424" w14:textId="77777777" w:rsidTr="008C50FA">
        <w:trPr>
          <w:trHeight w:val="1095"/>
        </w:trPr>
        <w:tc>
          <w:tcPr>
            <w:tcW w:w="535" w:type="dxa"/>
          </w:tcPr>
          <w:p w14:paraId="6DD72265" w14:textId="77777777" w:rsidR="00887674" w:rsidRDefault="00887674" w:rsidP="00887674">
            <w:pPr>
              <w:jc w:val="left"/>
            </w:pPr>
          </w:p>
        </w:tc>
        <w:tc>
          <w:tcPr>
            <w:tcW w:w="1308" w:type="dxa"/>
          </w:tcPr>
          <w:p w14:paraId="714F7AF1" w14:textId="77777777" w:rsidR="00887674" w:rsidRPr="007108B4" w:rsidRDefault="00887674" w:rsidP="00887674">
            <w:pPr>
              <w:pStyle w:val="3"/>
              <w:rPr>
                <w:b w:val="0"/>
                <w:bCs w:val="0"/>
              </w:rPr>
            </w:pPr>
          </w:p>
        </w:tc>
        <w:tc>
          <w:tcPr>
            <w:tcW w:w="1560" w:type="dxa"/>
            <w:gridSpan w:val="2"/>
          </w:tcPr>
          <w:p w14:paraId="112C724E" w14:textId="77777777" w:rsidR="00887674" w:rsidRDefault="00887674" w:rsidP="00887674">
            <w:pPr>
              <w:jc w:val="left"/>
            </w:pPr>
          </w:p>
        </w:tc>
        <w:tc>
          <w:tcPr>
            <w:tcW w:w="567" w:type="dxa"/>
            <w:vAlign w:val="center"/>
          </w:tcPr>
          <w:p w14:paraId="7129CC76" w14:textId="3C66AD21" w:rsidR="00887674" w:rsidRDefault="00887674" w:rsidP="00887674">
            <w:pPr>
              <w:jc w:val="center"/>
            </w:pPr>
            <w:r>
              <w:t>高教</w:t>
            </w:r>
          </w:p>
        </w:tc>
        <w:tc>
          <w:tcPr>
            <w:tcW w:w="425" w:type="dxa"/>
            <w:vAlign w:val="center"/>
          </w:tcPr>
          <w:p w14:paraId="6B95B88F" w14:textId="2F9BD6E6" w:rsidR="00887674" w:rsidRDefault="00887674" w:rsidP="00887674">
            <w:pPr>
              <w:jc w:val="center"/>
            </w:pPr>
            <w:r>
              <w:rPr>
                <w:rFonts w:hint="eastAsia"/>
              </w:rPr>
              <w:t>基表</w:t>
            </w:r>
          </w:p>
        </w:tc>
        <w:tc>
          <w:tcPr>
            <w:tcW w:w="4111" w:type="dxa"/>
            <w:gridSpan w:val="2"/>
            <w:vAlign w:val="center"/>
          </w:tcPr>
          <w:p w14:paraId="22F8431C" w14:textId="77777777" w:rsidR="00887674" w:rsidRPr="00887674" w:rsidRDefault="00887674" w:rsidP="00887674">
            <w:pPr>
              <w:pStyle w:val="3"/>
              <w:rPr>
                <w:b w:val="0"/>
                <w:bCs w:val="0"/>
                <w:sz w:val="21"/>
                <w:szCs w:val="22"/>
              </w:rPr>
            </w:pPr>
            <w:r w:rsidRPr="00887674">
              <w:rPr>
                <w:rFonts w:hint="eastAsia"/>
                <w:b w:val="0"/>
                <w:bCs w:val="0"/>
                <w:sz w:val="21"/>
                <w:szCs w:val="22"/>
              </w:rPr>
              <w:t>高基</w:t>
            </w:r>
            <w:r w:rsidRPr="00887674">
              <w:rPr>
                <w:b w:val="0"/>
                <w:bCs w:val="0"/>
                <w:sz w:val="21"/>
                <w:szCs w:val="22"/>
              </w:rPr>
              <w:t>522</w:t>
            </w:r>
            <w:r w:rsidRPr="00887674">
              <w:rPr>
                <w:rFonts w:hint="eastAsia"/>
                <w:b w:val="0"/>
                <w:bCs w:val="0"/>
                <w:sz w:val="21"/>
                <w:szCs w:val="22"/>
              </w:rPr>
              <w:t>信息化建设情况</w:t>
            </w:r>
          </w:p>
          <w:p w14:paraId="69D64327" w14:textId="77777777" w:rsidR="00887674" w:rsidRPr="00064600" w:rsidRDefault="00887674" w:rsidP="00887674">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pPr>
          </w:p>
        </w:tc>
        <w:tc>
          <w:tcPr>
            <w:tcW w:w="5386" w:type="dxa"/>
          </w:tcPr>
          <w:p w14:paraId="519EB53E" w14:textId="77777777" w:rsidR="00887674" w:rsidRPr="00887674" w:rsidRDefault="00887674" w:rsidP="00887674">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宋体" w:hAnsi="宋体" w:cs="宋体"/>
                <w:kern w:val="0"/>
                <w:sz w:val="18"/>
                <w:szCs w:val="18"/>
              </w:rPr>
            </w:pPr>
            <w:r>
              <w:rPr>
                <w:rFonts w:ascii="宋体" w:hAnsi="宋体" w:cs="宋体"/>
                <w:kern w:val="0"/>
                <w:sz w:val="18"/>
                <w:szCs w:val="18"/>
              </w:rPr>
              <w:t>1.</w:t>
            </w:r>
            <w:r w:rsidRPr="00887674">
              <w:rPr>
                <w:rFonts w:ascii="宋体" w:hAnsi="宋体" w:cs="宋体" w:hint="eastAsia"/>
                <w:kern w:val="0"/>
                <w:sz w:val="18"/>
                <w:szCs w:val="18"/>
              </w:rPr>
              <w:t>表中“数字资源量”用</w:t>
            </w:r>
            <w:proofErr w:type="gramStart"/>
            <w:r w:rsidRPr="00887674">
              <w:rPr>
                <w:rFonts w:ascii="宋体" w:hAnsi="宋体" w:cs="宋体" w:hint="eastAsia"/>
                <w:kern w:val="0"/>
                <w:sz w:val="18"/>
                <w:szCs w:val="18"/>
              </w:rPr>
              <w:t>“</w:t>
            </w:r>
            <w:proofErr w:type="gramEnd"/>
            <w:r w:rsidRPr="00887674">
              <w:rPr>
                <w:rFonts w:ascii="宋体" w:hAnsi="宋体" w:cs="宋体" w:hint="eastAsia"/>
                <w:kern w:val="0"/>
                <w:sz w:val="18"/>
                <w:szCs w:val="18"/>
              </w:rPr>
              <w:t>电子图书（册）、“电子期刊（册）”、“学位论文（册）”、“音视频（小时）”四个指标呈现</w:t>
            </w:r>
          </w:p>
          <w:p w14:paraId="509BEF1A" w14:textId="77777777" w:rsidR="00887674" w:rsidRPr="00887674" w:rsidRDefault="00887674" w:rsidP="00887674">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宋体" w:hAnsi="宋体" w:cs="宋体"/>
                <w:kern w:val="0"/>
                <w:sz w:val="18"/>
                <w:szCs w:val="18"/>
              </w:rPr>
            </w:pPr>
            <w:r>
              <w:rPr>
                <w:rFonts w:ascii="宋体" w:hAnsi="宋体" w:cs="宋体"/>
                <w:kern w:val="0"/>
                <w:sz w:val="18"/>
                <w:szCs w:val="18"/>
              </w:rPr>
              <w:t>2.</w:t>
            </w:r>
            <w:r w:rsidRPr="00887674">
              <w:rPr>
                <w:rFonts w:ascii="宋体" w:hAnsi="宋体" w:cs="宋体" w:hint="eastAsia"/>
                <w:kern w:val="0"/>
                <w:sz w:val="18"/>
                <w:szCs w:val="18"/>
              </w:rPr>
              <w:t>原表中“数据库（</w:t>
            </w:r>
            <w:proofErr w:type="gramStart"/>
            <w:r w:rsidRPr="00887674">
              <w:rPr>
                <w:rFonts w:ascii="宋体" w:hAnsi="宋体" w:cs="宋体" w:hint="eastAsia"/>
                <w:kern w:val="0"/>
                <w:sz w:val="18"/>
                <w:szCs w:val="18"/>
              </w:rPr>
              <w:t>个</w:t>
            </w:r>
            <w:proofErr w:type="gramEnd"/>
            <w:r w:rsidRPr="00887674">
              <w:rPr>
                <w:rFonts w:ascii="宋体" w:hAnsi="宋体" w:cs="宋体" w:hint="eastAsia"/>
                <w:kern w:val="0"/>
                <w:sz w:val="18"/>
                <w:szCs w:val="18"/>
              </w:rPr>
              <w:t>）”指标自今年始取消</w:t>
            </w:r>
          </w:p>
          <w:p w14:paraId="5BDB1D16" w14:textId="77777777" w:rsidR="00887674" w:rsidRPr="00887674" w:rsidRDefault="00887674" w:rsidP="00887674">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rPr>
                <w:rFonts w:ascii="宋体" w:hAnsi="宋体" w:cs="宋体"/>
                <w:kern w:val="0"/>
                <w:sz w:val="18"/>
                <w:szCs w:val="18"/>
              </w:rPr>
            </w:pPr>
          </w:p>
        </w:tc>
        <w:tc>
          <w:tcPr>
            <w:tcW w:w="1076" w:type="dxa"/>
            <w:gridSpan w:val="2"/>
          </w:tcPr>
          <w:p w14:paraId="7F551B99" w14:textId="77777777" w:rsidR="00887674" w:rsidRDefault="00887674" w:rsidP="00887674">
            <w:pPr>
              <w:jc w:val="left"/>
            </w:pPr>
            <w:r>
              <w:rPr>
                <w:rFonts w:hint="eastAsia"/>
              </w:rPr>
              <w:t>基表</w:t>
            </w:r>
            <w:r>
              <w:t>1</w:t>
            </w:r>
          </w:p>
          <w:p w14:paraId="7FF7C0BC" w14:textId="60B46A55" w:rsidR="00887674" w:rsidRPr="00D32822" w:rsidRDefault="00887674" w:rsidP="00887674">
            <w:pPr>
              <w:jc w:val="left"/>
            </w:pPr>
          </w:p>
        </w:tc>
      </w:tr>
      <w:tr w:rsidR="00887674" w14:paraId="231E7B9A" w14:textId="77777777" w:rsidTr="0001608F">
        <w:tc>
          <w:tcPr>
            <w:tcW w:w="14968" w:type="dxa"/>
            <w:gridSpan w:val="11"/>
          </w:tcPr>
          <w:p w14:paraId="2CDFDC98" w14:textId="77777777" w:rsidR="00887674" w:rsidRPr="00D864BB" w:rsidRDefault="00887674" w:rsidP="00887674">
            <w:pPr>
              <w:jc w:val="left"/>
              <w:rPr>
                <w:b/>
              </w:rPr>
            </w:pPr>
            <w:r w:rsidRPr="00D864BB">
              <w:rPr>
                <w:rFonts w:hint="eastAsia"/>
                <w:b/>
              </w:rPr>
              <w:t>二、指标修订内容</w:t>
            </w:r>
          </w:p>
        </w:tc>
      </w:tr>
      <w:tr w:rsidR="00887674" w14:paraId="23531AB9" w14:textId="77777777" w:rsidTr="00DC61BE">
        <w:tc>
          <w:tcPr>
            <w:tcW w:w="535" w:type="dxa"/>
            <w:vAlign w:val="center"/>
          </w:tcPr>
          <w:p w14:paraId="63788841" w14:textId="77777777" w:rsidR="00887674" w:rsidRDefault="00887674" w:rsidP="00887674">
            <w:pPr>
              <w:jc w:val="center"/>
            </w:pPr>
            <w:r>
              <w:rPr>
                <w:rFonts w:hint="eastAsia"/>
              </w:rPr>
              <w:t>编号</w:t>
            </w:r>
          </w:p>
        </w:tc>
        <w:tc>
          <w:tcPr>
            <w:tcW w:w="1732" w:type="dxa"/>
            <w:gridSpan w:val="2"/>
            <w:vAlign w:val="center"/>
          </w:tcPr>
          <w:p w14:paraId="22100021" w14:textId="77777777" w:rsidR="00887674" w:rsidRDefault="00887674" w:rsidP="00887674">
            <w:pPr>
              <w:jc w:val="center"/>
            </w:pPr>
            <w:r>
              <w:rPr>
                <w:rFonts w:hint="eastAsia"/>
              </w:rPr>
              <w:t>指标名称</w:t>
            </w:r>
          </w:p>
        </w:tc>
        <w:tc>
          <w:tcPr>
            <w:tcW w:w="3829" w:type="dxa"/>
            <w:gridSpan w:val="4"/>
            <w:vAlign w:val="center"/>
          </w:tcPr>
          <w:p w14:paraId="5AE1B5A6" w14:textId="77777777" w:rsidR="00887674" w:rsidRDefault="00887674" w:rsidP="00887674">
            <w:pPr>
              <w:jc w:val="center"/>
            </w:pPr>
            <w:proofErr w:type="gramStart"/>
            <w:r>
              <w:rPr>
                <w:rFonts w:hint="eastAsia"/>
              </w:rPr>
              <w:t>原指标</w:t>
            </w:r>
            <w:proofErr w:type="gramEnd"/>
            <w:r>
              <w:rPr>
                <w:rFonts w:hint="eastAsia"/>
              </w:rPr>
              <w:t>解释及填报说明</w:t>
            </w:r>
          </w:p>
        </w:tc>
        <w:tc>
          <w:tcPr>
            <w:tcW w:w="7938" w:type="dxa"/>
            <w:gridSpan w:val="3"/>
            <w:vAlign w:val="center"/>
          </w:tcPr>
          <w:p w14:paraId="20027BF8" w14:textId="77777777" w:rsidR="00887674" w:rsidRDefault="00887674" w:rsidP="00887674">
            <w:pPr>
              <w:jc w:val="center"/>
            </w:pPr>
            <w:proofErr w:type="gramStart"/>
            <w:r>
              <w:rPr>
                <w:rFonts w:hint="eastAsia"/>
              </w:rPr>
              <w:t>现指标</w:t>
            </w:r>
            <w:proofErr w:type="gramEnd"/>
            <w:r>
              <w:rPr>
                <w:rFonts w:hint="eastAsia"/>
              </w:rPr>
              <w:t>解释及填报说明</w:t>
            </w:r>
          </w:p>
        </w:tc>
        <w:tc>
          <w:tcPr>
            <w:tcW w:w="934" w:type="dxa"/>
            <w:vAlign w:val="center"/>
          </w:tcPr>
          <w:p w14:paraId="1A5AAAB1" w14:textId="77777777" w:rsidR="00887674" w:rsidRDefault="00887674" w:rsidP="00887674">
            <w:pPr>
              <w:jc w:val="center"/>
            </w:pPr>
            <w:r>
              <w:rPr>
                <w:rFonts w:hint="eastAsia"/>
              </w:rPr>
              <w:t>状态</w:t>
            </w:r>
          </w:p>
        </w:tc>
      </w:tr>
      <w:tr w:rsidR="00887674" w14:paraId="2F62EE6F" w14:textId="77777777" w:rsidTr="00DC61BE">
        <w:tc>
          <w:tcPr>
            <w:tcW w:w="535" w:type="dxa"/>
          </w:tcPr>
          <w:p w14:paraId="39878740" w14:textId="7D5125EF" w:rsidR="00887674" w:rsidRPr="007819F5" w:rsidRDefault="000C7BB8" w:rsidP="00887674">
            <w:pPr>
              <w:jc w:val="left"/>
              <w:rPr>
                <w:highlight w:val="yellow"/>
              </w:rPr>
            </w:pPr>
            <w:r>
              <w:rPr>
                <w:rFonts w:hint="eastAsia"/>
                <w:highlight w:val="yellow"/>
              </w:rPr>
              <w:t>1</w:t>
            </w:r>
          </w:p>
        </w:tc>
        <w:tc>
          <w:tcPr>
            <w:tcW w:w="1732" w:type="dxa"/>
            <w:gridSpan w:val="2"/>
          </w:tcPr>
          <w:p w14:paraId="1F5C7666" w14:textId="2E430F36" w:rsidR="00887674" w:rsidRPr="00EA3561" w:rsidRDefault="00887674" w:rsidP="00887674">
            <w:pPr>
              <w:spacing w:line="614" w:lineRule="exact"/>
            </w:pPr>
            <w:r>
              <w:rPr>
                <w:rFonts w:hint="eastAsia"/>
              </w:rPr>
              <w:t>研究生</w:t>
            </w:r>
          </w:p>
        </w:tc>
        <w:tc>
          <w:tcPr>
            <w:tcW w:w="3829" w:type="dxa"/>
            <w:gridSpan w:val="4"/>
          </w:tcPr>
          <w:p w14:paraId="3936D9DB" w14:textId="74BAF896" w:rsidR="00887674" w:rsidRPr="00AD0B02" w:rsidRDefault="00887674" w:rsidP="00887674">
            <w:pPr>
              <w:jc w:val="left"/>
            </w:pPr>
            <w:r w:rsidRPr="00A46E9E">
              <w:rPr>
                <w:rFonts w:hint="eastAsia"/>
              </w:rPr>
              <w:t>统筹全日制和非全日制研究生管理</w:t>
            </w:r>
          </w:p>
        </w:tc>
        <w:tc>
          <w:tcPr>
            <w:tcW w:w="7938" w:type="dxa"/>
            <w:gridSpan w:val="3"/>
          </w:tcPr>
          <w:p w14:paraId="0850863F" w14:textId="00B31858" w:rsidR="00887674" w:rsidRPr="006C31FC" w:rsidRDefault="00887674" w:rsidP="00887674">
            <w:pPr>
              <w:spacing w:line="200" w:lineRule="exact"/>
              <w:ind w:firstLineChars="231" w:firstLine="417"/>
              <w:jc w:val="left"/>
            </w:pPr>
            <w:r w:rsidRPr="003B19CC">
              <w:rPr>
                <w:rFonts w:ascii="宋体" w:hAnsi="宋体" w:hint="eastAsia"/>
                <w:b/>
                <w:bCs/>
                <w:sz w:val="18"/>
                <w:szCs w:val="18"/>
                <w:highlight w:val="yellow"/>
              </w:rPr>
              <w:t>研究生：</w:t>
            </w:r>
            <w:r w:rsidRPr="003B19CC">
              <w:rPr>
                <w:rFonts w:ascii="宋体" w:hAnsi="宋体" w:hint="eastAsia"/>
                <w:sz w:val="18"/>
                <w:szCs w:val="18"/>
                <w:highlight w:val="yellow"/>
              </w:rPr>
              <w:t>是指接受研究生学历教育的学生。按学位层次分为博士研究生和硕士研究生；按招生计划形式分为国家任务学生、委托培养学生和自筹经费学生；按学位类型分为</w:t>
            </w:r>
            <w:r>
              <w:rPr>
                <w:rFonts w:ascii="宋体" w:hAnsi="宋体" w:hint="eastAsia"/>
                <w:sz w:val="18"/>
                <w:szCs w:val="18"/>
                <w:highlight w:val="yellow"/>
              </w:rPr>
              <w:t>学术</w:t>
            </w:r>
            <w:r w:rsidRPr="003B19CC">
              <w:rPr>
                <w:rFonts w:ascii="宋体" w:hAnsi="宋体" w:hint="eastAsia"/>
                <w:sz w:val="18"/>
                <w:szCs w:val="18"/>
                <w:highlight w:val="yellow"/>
              </w:rPr>
              <w:t>学位研究生和专业学位研究生；按学习方式分为全日制研究生和非全日制研究生；按就业方式分为定向就业和非定向就业两种类型。</w:t>
            </w:r>
          </w:p>
        </w:tc>
        <w:tc>
          <w:tcPr>
            <w:tcW w:w="934" w:type="dxa"/>
          </w:tcPr>
          <w:p w14:paraId="143AD0A4" w14:textId="4D71D37B" w:rsidR="00887674" w:rsidRDefault="00887674" w:rsidP="00887674">
            <w:pPr>
              <w:jc w:val="left"/>
            </w:pPr>
            <w:r>
              <w:rPr>
                <w:rFonts w:hint="eastAsia"/>
              </w:rPr>
              <w:t>修订</w:t>
            </w:r>
          </w:p>
        </w:tc>
      </w:tr>
      <w:tr w:rsidR="00887674" w14:paraId="49B7938D" w14:textId="77777777" w:rsidTr="00DC61BE">
        <w:tc>
          <w:tcPr>
            <w:tcW w:w="535" w:type="dxa"/>
          </w:tcPr>
          <w:p w14:paraId="0636264F" w14:textId="54D64CE0" w:rsidR="00887674" w:rsidRPr="006C31FC" w:rsidRDefault="000C7BB8" w:rsidP="00887674">
            <w:pPr>
              <w:jc w:val="left"/>
              <w:rPr>
                <w:highlight w:val="yellow"/>
              </w:rPr>
            </w:pPr>
            <w:r>
              <w:rPr>
                <w:rFonts w:hint="eastAsia"/>
                <w:highlight w:val="yellow"/>
              </w:rPr>
              <w:t>2</w:t>
            </w:r>
          </w:p>
        </w:tc>
        <w:tc>
          <w:tcPr>
            <w:tcW w:w="1732" w:type="dxa"/>
            <w:gridSpan w:val="2"/>
          </w:tcPr>
          <w:p w14:paraId="6668601E" w14:textId="2124B384" w:rsidR="00887674" w:rsidRDefault="00887674" w:rsidP="00887674">
            <w:pPr>
              <w:spacing w:line="614" w:lineRule="exact"/>
            </w:pPr>
            <w:r>
              <w:rPr>
                <w:rFonts w:hint="eastAsia"/>
              </w:rPr>
              <w:t>学术型学位</w:t>
            </w:r>
          </w:p>
        </w:tc>
        <w:tc>
          <w:tcPr>
            <w:tcW w:w="3829" w:type="dxa"/>
            <w:gridSpan w:val="4"/>
          </w:tcPr>
          <w:p w14:paraId="4D3C3A4F" w14:textId="3FB65A58" w:rsidR="00887674" w:rsidRDefault="00887674" w:rsidP="00887674">
            <w:pPr>
              <w:jc w:val="left"/>
            </w:pPr>
            <w:r>
              <w:rPr>
                <w:rFonts w:hint="eastAsia"/>
              </w:rPr>
              <w:t>学术型学位</w:t>
            </w:r>
          </w:p>
        </w:tc>
        <w:tc>
          <w:tcPr>
            <w:tcW w:w="7938" w:type="dxa"/>
            <w:gridSpan w:val="3"/>
          </w:tcPr>
          <w:p w14:paraId="1A95D99E" w14:textId="4B6F91F5" w:rsidR="00887674" w:rsidRDefault="00887674" w:rsidP="000C7BB8">
            <w:pPr>
              <w:jc w:val="left"/>
            </w:pPr>
            <w:r>
              <w:rPr>
                <w:rFonts w:hint="eastAsia"/>
              </w:rPr>
              <w:t>学术学位：指标定义不变，规范指标名称，将原“学术型学位”修订为“学术学位”，涉及高教基表</w:t>
            </w:r>
            <w:r>
              <w:rPr>
                <w:rFonts w:hint="eastAsia"/>
              </w:rPr>
              <w:t>3</w:t>
            </w:r>
            <w:r>
              <w:rPr>
                <w:rFonts w:hint="eastAsia"/>
              </w:rPr>
              <w:t>张，</w:t>
            </w:r>
            <w:r w:rsidRPr="001048A0">
              <w:rPr>
                <w:rFonts w:hint="eastAsia"/>
              </w:rPr>
              <w:t>高基</w:t>
            </w:r>
            <w:r w:rsidRPr="001048A0">
              <w:rPr>
                <w:rFonts w:hint="eastAsia"/>
              </w:rPr>
              <w:t>317</w:t>
            </w:r>
            <w:r>
              <w:rPr>
                <w:rFonts w:hint="eastAsia"/>
              </w:rPr>
              <w:t>、</w:t>
            </w:r>
            <w:r>
              <w:rPr>
                <w:rFonts w:hint="eastAsia"/>
              </w:rPr>
              <w:t>318</w:t>
            </w:r>
            <w:r>
              <w:rPr>
                <w:rFonts w:hint="eastAsia"/>
              </w:rPr>
              <w:t>、</w:t>
            </w:r>
            <w:r>
              <w:rPr>
                <w:rFonts w:hint="eastAsia"/>
              </w:rPr>
              <w:t>351</w:t>
            </w:r>
            <w:r>
              <w:rPr>
                <w:rFonts w:hint="eastAsia"/>
              </w:rPr>
              <w:t>；</w:t>
            </w:r>
          </w:p>
        </w:tc>
        <w:tc>
          <w:tcPr>
            <w:tcW w:w="934" w:type="dxa"/>
          </w:tcPr>
          <w:p w14:paraId="0C63618D" w14:textId="77777777" w:rsidR="00887674" w:rsidRDefault="00887674" w:rsidP="00887674">
            <w:pPr>
              <w:jc w:val="left"/>
            </w:pPr>
            <w:r>
              <w:rPr>
                <w:rFonts w:hint="eastAsia"/>
              </w:rPr>
              <w:t>基表</w:t>
            </w:r>
            <w:r>
              <w:rPr>
                <w:rFonts w:hint="eastAsia"/>
              </w:rPr>
              <w:t>3</w:t>
            </w:r>
          </w:p>
          <w:p w14:paraId="01CA51FA" w14:textId="448AA0B7" w:rsidR="00887674" w:rsidRDefault="00887674" w:rsidP="00887674">
            <w:pPr>
              <w:jc w:val="left"/>
            </w:pPr>
          </w:p>
        </w:tc>
      </w:tr>
      <w:tr w:rsidR="00887674" w14:paraId="3EB8B6C1" w14:textId="77777777" w:rsidTr="00DC61BE">
        <w:tc>
          <w:tcPr>
            <w:tcW w:w="535" w:type="dxa"/>
          </w:tcPr>
          <w:p w14:paraId="5626D533" w14:textId="656FED57" w:rsidR="00887674" w:rsidRDefault="000C7BB8" w:rsidP="00887674">
            <w:pPr>
              <w:jc w:val="left"/>
            </w:pPr>
            <w:r>
              <w:rPr>
                <w:rFonts w:hint="eastAsia"/>
                <w:highlight w:val="yellow"/>
              </w:rPr>
              <w:t>3</w:t>
            </w:r>
          </w:p>
        </w:tc>
        <w:tc>
          <w:tcPr>
            <w:tcW w:w="1732" w:type="dxa"/>
            <w:gridSpan w:val="2"/>
          </w:tcPr>
          <w:p w14:paraId="2ACDFAA4" w14:textId="3EE22547" w:rsidR="00887674" w:rsidRPr="00AD0B02" w:rsidRDefault="00887674" w:rsidP="00887674">
            <w:pPr>
              <w:spacing w:line="614" w:lineRule="exact"/>
            </w:pPr>
            <w:r>
              <w:rPr>
                <w:rFonts w:hint="eastAsia"/>
              </w:rPr>
              <w:t>港澳台侨</w:t>
            </w:r>
          </w:p>
        </w:tc>
        <w:tc>
          <w:tcPr>
            <w:tcW w:w="3829" w:type="dxa"/>
            <w:gridSpan w:val="4"/>
          </w:tcPr>
          <w:p w14:paraId="1DFD4650" w14:textId="7C3466DE" w:rsidR="00887674" w:rsidRPr="007302C9" w:rsidRDefault="00887674" w:rsidP="00887674">
            <w:pPr>
              <w:jc w:val="left"/>
            </w:pPr>
            <w:r w:rsidRPr="007302C9">
              <w:rPr>
                <w:rFonts w:hint="eastAsia"/>
              </w:rPr>
              <w:t>教育部等六部门关于印发《普通高等学校招收和培养香港特别行政区、澳门特别行政区及台湾地区学生的规定》的通知</w:t>
            </w:r>
            <w:r>
              <w:rPr>
                <w:rFonts w:hint="eastAsia"/>
              </w:rPr>
              <w:t>-</w:t>
            </w:r>
            <w:r w:rsidRPr="007302C9">
              <w:rPr>
                <w:rFonts w:hint="eastAsia"/>
              </w:rPr>
              <w:t>教港澳台</w:t>
            </w:r>
            <w:r w:rsidRPr="007302C9">
              <w:rPr>
                <w:rFonts w:hint="eastAsia"/>
              </w:rPr>
              <w:t>[2016]96</w:t>
            </w:r>
            <w:r w:rsidRPr="007302C9">
              <w:rPr>
                <w:rFonts w:hint="eastAsia"/>
              </w:rPr>
              <w:t>号</w:t>
            </w:r>
          </w:p>
          <w:p w14:paraId="04BCEF4F" w14:textId="2203529F" w:rsidR="00887674" w:rsidRPr="007302C9" w:rsidRDefault="00887674" w:rsidP="00887674">
            <w:pPr>
              <w:jc w:val="left"/>
            </w:pPr>
          </w:p>
          <w:p w14:paraId="3B153BBF" w14:textId="77777777" w:rsidR="00887674" w:rsidRPr="007302C9" w:rsidRDefault="00887674" w:rsidP="00887674">
            <w:pPr>
              <w:jc w:val="left"/>
            </w:pPr>
          </w:p>
        </w:tc>
        <w:tc>
          <w:tcPr>
            <w:tcW w:w="7938" w:type="dxa"/>
            <w:gridSpan w:val="3"/>
          </w:tcPr>
          <w:p w14:paraId="5469D055" w14:textId="087F808F" w:rsidR="00887674" w:rsidRDefault="00887674" w:rsidP="00887674">
            <w:pPr>
              <w:ind w:firstLine="640"/>
            </w:pPr>
            <w:r>
              <w:rPr>
                <w:rFonts w:hint="eastAsia"/>
              </w:rPr>
              <w:t>高等教育：</w:t>
            </w:r>
          </w:p>
          <w:p w14:paraId="38A1E3E1" w14:textId="76D4DCA1" w:rsidR="00887674" w:rsidRPr="00196635" w:rsidRDefault="00887674" w:rsidP="000C7BB8">
            <w:pPr>
              <w:ind w:firstLine="640"/>
            </w:pPr>
            <w:r w:rsidRPr="00196635">
              <w:rPr>
                <w:rFonts w:hint="eastAsia"/>
              </w:rPr>
              <w:t>港澳台</w:t>
            </w:r>
            <w:r>
              <w:rPr>
                <w:rFonts w:hint="eastAsia"/>
              </w:rPr>
              <w:t>侨</w:t>
            </w:r>
            <w:r w:rsidRPr="00196635">
              <w:rPr>
                <w:rFonts w:hint="eastAsia"/>
              </w:rPr>
              <w:t>：</w:t>
            </w:r>
            <w:r w:rsidRPr="00F157B8">
              <w:rPr>
                <w:rFonts w:hint="eastAsia"/>
              </w:rPr>
              <w:t>是指报考或入读高校的具有香港、澳门居民身份证和《港澳居民来往内地通行证》的学生；具有在台湾居住的有效身份证明和《台湾居民来往大陆通行证》的学生；华侨考生是必须取得外国长期或永久居留权，本人须持中华人民共和国驻外使（领）馆出具的取得在外国长期或永久居留权的公证书或认证书（中文或英文）以及中华人民共和国护照，且最近四年（截至报名时间结束止）之内有在国外实际居住</w:t>
            </w:r>
            <w:r w:rsidRPr="00F157B8">
              <w:rPr>
                <w:rFonts w:hint="eastAsia"/>
              </w:rPr>
              <w:t>2</w:t>
            </w:r>
            <w:r w:rsidRPr="00F157B8">
              <w:rPr>
                <w:rFonts w:hint="eastAsia"/>
              </w:rPr>
              <w:t>年以上记录的学生；通过面向港澳台地区的联合招生考试；或者参加内地（祖国大陆）统一高考、研究生招生考试合格；或者通过香港中学文凭考试、台湾地区学科能力测试等统一考试达到同等高校入学标准；或者通过教育部批准的其他入学方式，经内地（祖国大陆）高校录取，取得入学资格。</w:t>
            </w:r>
          </w:p>
        </w:tc>
        <w:tc>
          <w:tcPr>
            <w:tcW w:w="934" w:type="dxa"/>
          </w:tcPr>
          <w:p w14:paraId="35B0123E" w14:textId="591645F2" w:rsidR="00887674" w:rsidRDefault="00887674" w:rsidP="00887674">
            <w:pPr>
              <w:jc w:val="left"/>
            </w:pPr>
            <w:r>
              <w:rPr>
                <w:rFonts w:hint="eastAsia"/>
              </w:rPr>
              <w:t>修订</w:t>
            </w:r>
          </w:p>
        </w:tc>
      </w:tr>
      <w:tr w:rsidR="00887674" w14:paraId="1DFF86F5" w14:textId="77777777" w:rsidTr="00DC61BE">
        <w:tc>
          <w:tcPr>
            <w:tcW w:w="535" w:type="dxa"/>
          </w:tcPr>
          <w:p w14:paraId="0161DD6A" w14:textId="48C4DA69" w:rsidR="00887674" w:rsidRPr="0092484A" w:rsidRDefault="000C7BB8" w:rsidP="00887674">
            <w:pPr>
              <w:jc w:val="left"/>
              <w:rPr>
                <w:highlight w:val="yellow"/>
              </w:rPr>
            </w:pPr>
            <w:r>
              <w:rPr>
                <w:rFonts w:hint="eastAsia"/>
                <w:highlight w:val="yellow"/>
              </w:rPr>
              <w:t>4</w:t>
            </w:r>
          </w:p>
        </w:tc>
        <w:tc>
          <w:tcPr>
            <w:tcW w:w="1732" w:type="dxa"/>
            <w:gridSpan w:val="2"/>
          </w:tcPr>
          <w:p w14:paraId="2277CAC1" w14:textId="419302F9" w:rsidR="00887674" w:rsidRPr="00093781" w:rsidRDefault="00887674" w:rsidP="00887674">
            <w:pPr>
              <w:jc w:val="left"/>
            </w:pPr>
            <w:r>
              <w:rPr>
                <w:rFonts w:hint="eastAsia"/>
              </w:rPr>
              <w:t>残疾人</w:t>
            </w:r>
          </w:p>
        </w:tc>
        <w:tc>
          <w:tcPr>
            <w:tcW w:w="3829" w:type="dxa"/>
            <w:gridSpan w:val="4"/>
          </w:tcPr>
          <w:p w14:paraId="68AA1E23" w14:textId="77777777" w:rsidR="00887674" w:rsidRDefault="00887674" w:rsidP="00887674">
            <w:pPr>
              <w:jc w:val="left"/>
            </w:pPr>
          </w:p>
        </w:tc>
        <w:tc>
          <w:tcPr>
            <w:tcW w:w="7938" w:type="dxa"/>
            <w:gridSpan w:val="3"/>
          </w:tcPr>
          <w:p w14:paraId="1C97DABD" w14:textId="77777777" w:rsidR="00887674" w:rsidRPr="007177AA" w:rsidRDefault="00887674" w:rsidP="00887674">
            <w:pPr>
              <w:spacing w:line="240" w:lineRule="exact"/>
              <w:ind w:firstLineChars="236" w:firstLine="426"/>
              <w:rPr>
                <w:rFonts w:ascii="宋体" w:hAnsi="宋体"/>
                <w:b/>
                <w:sz w:val="18"/>
                <w:szCs w:val="18"/>
              </w:rPr>
            </w:pPr>
            <w:r w:rsidRPr="007177AA">
              <w:rPr>
                <w:rFonts w:ascii="宋体" w:hAnsi="宋体" w:hint="eastAsia"/>
                <w:b/>
                <w:sz w:val="18"/>
                <w:szCs w:val="18"/>
              </w:rPr>
              <w:t>残疾人：</w:t>
            </w:r>
            <w:r w:rsidRPr="007177AA">
              <w:rPr>
                <w:rFonts w:ascii="宋体" w:hAnsi="宋体" w:hint="eastAsia"/>
                <w:sz w:val="18"/>
                <w:szCs w:val="18"/>
              </w:rPr>
              <w:t>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w:t>
            </w:r>
          </w:p>
          <w:p w14:paraId="67412816" w14:textId="3795274A" w:rsidR="00887674" w:rsidRPr="000C7BB8" w:rsidRDefault="00887674" w:rsidP="000C7BB8">
            <w:pPr>
              <w:spacing w:line="240" w:lineRule="exact"/>
              <w:ind w:firstLineChars="236" w:firstLine="426"/>
              <w:rPr>
                <w:rFonts w:ascii="宋体" w:hAnsi="宋体"/>
                <w:b/>
                <w:sz w:val="18"/>
                <w:szCs w:val="18"/>
              </w:rPr>
            </w:pPr>
            <w:r>
              <w:rPr>
                <w:rFonts w:ascii="宋体" w:hAnsi="宋体" w:hint="eastAsia"/>
                <w:b/>
                <w:sz w:val="18"/>
                <w:szCs w:val="18"/>
              </w:rPr>
              <w:t>增加：</w:t>
            </w:r>
            <w:r w:rsidRPr="007177AA">
              <w:rPr>
                <w:rFonts w:ascii="宋体" w:hAnsi="宋体" w:hint="eastAsia"/>
                <w:b/>
                <w:sz w:val="18"/>
                <w:szCs w:val="18"/>
              </w:rPr>
              <w:t>填报说明</w:t>
            </w:r>
            <w:r>
              <w:rPr>
                <w:rFonts w:ascii="宋体" w:hAnsi="宋体" w:hint="eastAsia"/>
                <w:b/>
                <w:sz w:val="18"/>
                <w:szCs w:val="18"/>
              </w:rPr>
              <w:t>：</w:t>
            </w:r>
            <w:r>
              <w:rPr>
                <w:rFonts w:ascii="宋体" w:hAnsi="宋体" w:hint="eastAsia"/>
                <w:bCs/>
                <w:sz w:val="18"/>
                <w:szCs w:val="18"/>
                <w:highlight w:val="yellow"/>
              </w:rPr>
              <w:t>中华人民共和国残疾人证是认定残疾人及其残疾类别、残疾等级的合法凭证，是残疾人依法享有国家和地方政府优惠政策的重要依据。</w:t>
            </w:r>
          </w:p>
          <w:p w14:paraId="615309C1" w14:textId="2FD9E0A4" w:rsidR="00887674" w:rsidRPr="0092484A" w:rsidRDefault="00887674" w:rsidP="00887674">
            <w:pPr>
              <w:jc w:val="left"/>
            </w:pPr>
            <w:r>
              <w:rPr>
                <w:rFonts w:hint="eastAsia"/>
              </w:rPr>
              <w:t>三套表中都增加，强调认定残疾人依据，</w:t>
            </w:r>
          </w:p>
        </w:tc>
        <w:tc>
          <w:tcPr>
            <w:tcW w:w="934" w:type="dxa"/>
          </w:tcPr>
          <w:p w14:paraId="49AA1BF6" w14:textId="084CE858" w:rsidR="00887674" w:rsidRDefault="00887674" w:rsidP="00887674">
            <w:pPr>
              <w:jc w:val="left"/>
            </w:pPr>
          </w:p>
        </w:tc>
      </w:tr>
      <w:tr w:rsidR="00887674" w14:paraId="01E97D78" w14:textId="77777777" w:rsidTr="00DC61BE">
        <w:tc>
          <w:tcPr>
            <w:tcW w:w="535" w:type="dxa"/>
          </w:tcPr>
          <w:p w14:paraId="6EE92FA1" w14:textId="09E6BE88" w:rsidR="00887674" w:rsidRPr="004C1174" w:rsidRDefault="000C7BB8" w:rsidP="00887674">
            <w:pPr>
              <w:jc w:val="left"/>
              <w:rPr>
                <w:highlight w:val="yellow"/>
              </w:rPr>
            </w:pPr>
            <w:r>
              <w:rPr>
                <w:rFonts w:hint="eastAsia"/>
                <w:highlight w:val="yellow"/>
              </w:rPr>
              <w:t>5</w:t>
            </w:r>
          </w:p>
        </w:tc>
        <w:tc>
          <w:tcPr>
            <w:tcW w:w="1732" w:type="dxa"/>
            <w:gridSpan w:val="2"/>
          </w:tcPr>
          <w:p w14:paraId="02D53066" w14:textId="0BC2BF32" w:rsidR="00887674" w:rsidRPr="004C1174" w:rsidRDefault="00887674" w:rsidP="00887674">
            <w:pPr>
              <w:jc w:val="left"/>
              <w:rPr>
                <w:highlight w:val="yellow"/>
              </w:rPr>
            </w:pPr>
            <w:r w:rsidRPr="004C1174">
              <w:rPr>
                <w:highlight w:val="yellow"/>
              </w:rPr>
              <w:t>数字资源量</w:t>
            </w:r>
          </w:p>
        </w:tc>
        <w:tc>
          <w:tcPr>
            <w:tcW w:w="3829" w:type="dxa"/>
            <w:gridSpan w:val="4"/>
          </w:tcPr>
          <w:p w14:paraId="47AE64BD" w14:textId="77777777" w:rsidR="00887674" w:rsidRDefault="00887674" w:rsidP="00887674">
            <w:pPr>
              <w:jc w:val="left"/>
            </w:pPr>
          </w:p>
        </w:tc>
        <w:tc>
          <w:tcPr>
            <w:tcW w:w="7938" w:type="dxa"/>
            <w:gridSpan w:val="3"/>
          </w:tcPr>
          <w:p w14:paraId="085B7C89" w14:textId="41346B33" w:rsidR="00887674" w:rsidRPr="00474A4B" w:rsidRDefault="00887674" w:rsidP="00887674">
            <w:pPr>
              <w:spacing w:line="240" w:lineRule="exact"/>
            </w:pPr>
            <w:r w:rsidRPr="00617325">
              <w:rPr>
                <w:rFonts w:ascii="宋体" w:hint="eastAsia"/>
                <w:b/>
                <w:sz w:val="18"/>
              </w:rPr>
              <w:t>数字资源量</w:t>
            </w:r>
            <w:r w:rsidRPr="00617325">
              <w:rPr>
                <w:rFonts w:ascii="宋体" w:hAnsi="宋体" w:hint="eastAsia"/>
                <w:b/>
                <w:bCs/>
                <w:sz w:val="18"/>
              </w:rPr>
              <w:t>：</w:t>
            </w:r>
            <w:r w:rsidRPr="009D3A6E">
              <w:rPr>
                <w:rFonts w:ascii="宋体" w:hAnsi="宋体" w:hint="eastAsia"/>
                <w:sz w:val="18"/>
                <w:szCs w:val="18"/>
                <w:highlight w:val="yellow"/>
              </w:rPr>
              <w:t>是指学校引进（包括购买、租用）和本校原生的，拥有磁、光介质或网络使用权的数字形态，可供教师和学生使用的电子图书、电子期刊、学位论文和</w:t>
            </w:r>
            <w:proofErr w:type="gramStart"/>
            <w:r w:rsidRPr="009D3A6E">
              <w:rPr>
                <w:rFonts w:ascii="宋体" w:hAnsi="宋体" w:hint="eastAsia"/>
                <w:sz w:val="18"/>
                <w:szCs w:val="18"/>
                <w:highlight w:val="yellow"/>
              </w:rPr>
              <w:t>音视频</w:t>
            </w:r>
            <w:proofErr w:type="gramEnd"/>
            <w:r w:rsidRPr="009D3A6E">
              <w:rPr>
                <w:rFonts w:ascii="宋体" w:hAnsi="宋体" w:hint="eastAsia"/>
                <w:sz w:val="18"/>
                <w:szCs w:val="18"/>
                <w:highlight w:val="yellow"/>
              </w:rPr>
              <w:t>资源量。</w:t>
            </w:r>
          </w:p>
        </w:tc>
        <w:tc>
          <w:tcPr>
            <w:tcW w:w="934" w:type="dxa"/>
          </w:tcPr>
          <w:p w14:paraId="38C53E08" w14:textId="097A23E1" w:rsidR="00887674" w:rsidRDefault="00887674" w:rsidP="00887674">
            <w:pPr>
              <w:jc w:val="left"/>
            </w:pPr>
          </w:p>
        </w:tc>
      </w:tr>
    </w:tbl>
    <w:p w14:paraId="10885418" w14:textId="77777777" w:rsidR="00A82211" w:rsidRDefault="00A82211" w:rsidP="008B55EA">
      <w:pPr>
        <w:ind w:left="420"/>
      </w:pPr>
    </w:p>
    <w:sectPr w:rsidR="00A82211" w:rsidSect="009D77AC">
      <w:footerReference w:type="default" r:id="rId8"/>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1704A" w14:textId="77777777" w:rsidR="00845E92" w:rsidRDefault="00845E92" w:rsidP="00106057">
      <w:r>
        <w:separator/>
      </w:r>
    </w:p>
  </w:endnote>
  <w:endnote w:type="continuationSeparator" w:id="0">
    <w:p w14:paraId="14E372D8" w14:textId="77777777" w:rsidR="00845E92" w:rsidRDefault="00845E92" w:rsidP="0010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ahoma"/>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16449"/>
      <w:docPartObj>
        <w:docPartGallery w:val="Page Numbers (Bottom of Page)"/>
        <w:docPartUnique/>
      </w:docPartObj>
    </w:sdtPr>
    <w:sdtEndPr/>
    <w:sdtContent>
      <w:sdt>
        <w:sdtPr>
          <w:id w:val="171357217"/>
          <w:docPartObj>
            <w:docPartGallery w:val="Page Numbers (Top of Page)"/>
            <w:docPartUnique/>
          </w:docPartObj>
        </w:sdtPr>
        <w:sdtEndPr/>
        <w:sdtContent>
          <w:p w14:paraId="72FBE084" w14:textId="4ADBDFF5" w:rsidR="00A65290" w:rsidRDefault="00A65290">
            <w:pPr>
              <w:pStyle w:val="a7"/>
              <w:jc w:val="center"/>
            </w:pPr>
            <w:r>
              <w:rPr>
                <w:lang w:val="zh-CN"/>
              </w:rPr>
              <w:t xml:space="preserve"> </w:t>
            </w:r>
            <w:r w:rsidR="00D42DEF">
              <w:rPr>
                <w:b/>
                <w:sz w:val="24"/>
                <w:szCs w:val="24"/>
              </w:rPr>
              <w:fldChar w:fldCharType="begin"/>
            </w:r>
            <w:r>
              <w:rPr>
                <w:b/>
              </w:rPr>
              <w:instrText>PAGE</w:instrText>
            </w:r>
            <w:r w:rsidR="00D42DEF">
              <w:rPr>
                <w:b/>
                <w:sz w:val="24"/>
                <w:szCs w:val="24"/>
              </w:rPr>
              <w:fldChar w:fldCharType="separate"/>
            </w:r>
            <w:r w:rsidR="007D6B39">
              <w:rPr>
                <w:b/>
                <w:noProof/>
              </w:rPr>
              <w:t>2</w:t>
            </w:r>
            <w:r w:rsidR="00D42DEF">
              <w:rPr>
                <w:b/>
                <w:sz w:val="24"/>
                <w:szCs w:val="24"/>
              </w:rPr>
              <w:fldChar w:fldCharType="end"/>
            </w:r>
            <w:r>
              <w:rPr>
                <w:lang w:val="zh-CN"/>
              </w:rPr>
              <w:t xml:space="preserve"> / </w:t>
            </w:r>
            <w:r w:rsidR="00D42DEF">
              <w:rPr>
                <w:b/>
                <w:sz w:val="24"/>
                <w:szCs w:val="24"/>
              </w:rPr>
              <w:fldChar w:fldCharType="begin"/>
            </w:r>
            <w:r>
              <w:rPr>
                <w:b/>
              </w:rPr>
              <w:instrText>NUMPAGES</w:instrText>
            </w:r>
            <w:r w:rsidR="00D42DEF">
              <w:rPr>
                <w:b/>
                <w:sz w:val="24"/>
                <w:szCs w:val="24"/>
              </w:rPr>
              <w:fldChar w:fldCharType="separate"/>
            </w:r>
            <w:r w:rsidR="007D6B39">
              <w:rPr>
                <w:b/>
                <w:noProof/>
              </w:rPr>
              <w:t>2</w:t>
            </w:r>
            <w:r w:rsidR="00D42DEF">
              <w:rPr>
                <w:b/>
                <w:sz w:val="24"/>
                <w:szCs w:val="24"/>
              </w:rPr>
              <w:fldChar w:fldCharType="end"/>
            </w:r>
          </w:p>
        </w:sdtContent>
      </w:sdt>
    </w:sdtContent>
  </w:sdt>
  <w:p w14:paraId="43E126BB" w14:textId="77777777" w:rsidR="00A65290" w:rsidRDefault="00A652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A673D" w14:textId="77777777" w:rsidR="00845E92" w:rsidRDefault="00845E92" w:rsidP="00106057">
      <w:r>
        <w:separator/>
      </w:r>
    </w:p>
  </w:footnote>
  <w:footnote w:type="continuationSeparator" w:id="0">
    <w:p w14:paraId="7DCE1BF9" w14:textId="77777777" w:rsidR="00845E92" w:rsidRDefault="00845E92" w:rsidP="00106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FE4"/>
    <w:multiLevelType w:val="hybridMultilevel"/>
    <w:tmpl w:val="A656C580"/>
    <w:lvl w:ilvl="0" w:tplc="9614E2AC">
      <w:start w:val="1"/>
      <w:numFmt w:val="japaneseCounting"/>
      <w:lvlText w:val="%1、"/>
      <w:lvlJc w:val="left"/>
      <w:pPr>
        <w:ind w:left="720" w:hanging="720"/>
      </w:pPr>
      <w:rPr>
        <w:rFonts w:asciiTheme="minorHAnsi" w:eastAsiaTheme="minorEastAsia" w:hAnsiTheme="minorHAnsi" w:cstheme="minorBidi"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425AFE"/>
    <w:multiLevelType w:val="hybridMultilevel"/>
    <w:tmpl w:val="020265C8"/>
    <w:lvl w:ilvl="0" w:tplc="456EF58E">
      <w:start w:val="1"/>
      <w:numFmt w:val="bullet"/>
      <w:lvlText w:val=""/>
      <w:lvlJc w:val="left"/>
      <w:pPr>
        <w:tabs>
          <w:tab w:val="num" w:pos="720"/>
        </w:tabs>
        <w:ind w:left="720" w:hanging="360"/>
      </w:pPr>
      <w:rPr>
        <w:rFonts w:ascii="Wingdings" w:hAnsi="Wingdings" w:hint="default"/>
      </w:rPr>
    </w:lvl>
    <w:lvl w:ilvl="1" w:tplc="CEC2A614" w:tentative="1">
      <w:start w:val="1"/>
      <w:numFmt w:val="bullet"/>
      <w:lvlText w:val=""/>
      <w:lvlJc w:val="left"/>
      <w:pPr>
        <w:tabs>
          <w:tab w:val="num" w:pos="1440"/>
        </w:tabs>
        <w:ind w:left="1440" w:hanging="360"/>
      </w:pPr>
      <w:rPr>
        <w:rFonts w:ascii="Wingdings" w:hAnsi="Wingdings" w:hint="default"/>
      </w:rPr>
    </w:lvl>
    <w:lvl w:ilvl="2" w:tplc="E546576A">
      <w:start w:val="1"/>
      <w:numFmt w:val="bullet"/>
      <w:lvlText w:val=""/>
      <w:lvlJc w:val="left"/>
      <w:pPr>
        <w:tabs>
          <w:tab w:val="num" w:pos="2160"/>
        </w:tabs>
        <w:ind w:left="2160" w:hanging="360"/>
      </w:pPr>
      <w:rPr>
        <w:rFonts w:ascii="Wingdings" w:hAnsi="Wingdings" w:hint="default"/>
      </w:rPr>
    </w:lvl>
    <w:lvl w:ilvl="3" w:tplc="11FC3836" w:tentative="1">
      <w:start w:val="1"/>
      <w:numFmt w:val="bullet"/>
      <w:lvlText w:val=""/>
      <w:lvlJc w:val="left"/>
      <w:pPr>
        <w:tabs>
          <w:tab w:val="num" w:pos="2880"/>
        </w:tabs>
        <w:ind w:left="2880" w:hanging="360"/>
      </w:pPr>
      <w:rPr>
        <w:rFonts w:ascii="Wingdings" w:hAnsi="Wingdings" w:hint="default"/>
      </w:rPr>
    </w:lvl>
    <w:lvl w:ilvl="4" w:tplc="0158CDBE" w:tentative="1">
      <w:start w:val="1"/>
      <w:numFmt w:val="bullet"/>
      <w:lvlText w:val=""/>
      <w:lvlJc w:val="left"/>
      <w:pPr>
        <w:tabs>
          <w:tab w:val="num" w:pos="3600"/>
        </w:tabs>
        <w:ind w:left="3600" w:hanging="360"/>
      </w:pPr>
      <w:rPr>
        <w:rFonts w:ascii="Wingdings" w:hAnsi="Wingdings" w:hint="default"/>
      </w:rPr>
    </w:lvl>
    <w:lvl w:ilvl="5" w:tplc="A6ACB866" w:tentative="1">
      <w:start w:val="1"/>
      <w:numFmt w:val="bullet"/>
      <w:lvlText w:val=""/>
      <w:lvlJc w:val="left"/>
      <w:pPr>
        <w:tabs>
          <w:tab w:val="num" w:pos="4320"/>
        </w:tabs>
        <w:ind w:left="4320" w:hanging="360"/>
      </w:pPr>
      <w:rPr>
        <w:rFonts w:ascii="Wingdings" w:hAnsi="Wingdings" w:hint="default"/>
      </w:rPr>
    </w:lvl>
    <w:lvl w:ilvl="6" w:tplc="A508BB7E" w:tentative="1">
      <w:start w:val="1"/>
      <w:numFmt w:val="bullet"/>
      <w:lvlText w:val=""/>
      <w:lvlJc w:val="left"/>
      <w:pPr>
        <w:tabs>
          <w:tab w:val="num" w:pos="5040"/>
        </w:tabs>
        <w:ind w:left="5040" w:hanging="360"/>
      </w:pPr>
      <w:rPr>
        <w:rFonts w:ascii="Wingdings" w:hAnsi="Wingdings" w:hint="default"/>
      </w:rPr>
    </w:lvl>
    <w:lvl w:ilvl="7" w:tplc="6C685CFA" w:tentative="1">
      <w:start w:val="1"/>
      <w:numFmt w:val="bullet"/>
      <w:lvlText w:val=""/>
      <w:lvlJc w:val="left"/>
      <w:pPr>
        <w:tabs>
          <w:tab w:val="num" w:pos="5760"/>
        </w:tabs>
        <w:ind w:left="5760" w:hanging="360"/>
      </w:pPr>
      <w:rPr>
        <w:rFonts w:ascii="Wingdings" w:hAnsi="Wingdings" w:hint="default"/>
      </w:rPr>
    </w:lvl>
    <w:lvl w:ilvl="8" w:tplc="6896B4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F0066"/>
    <w:multiLevelType w:val="hybridMultilevel"/>
    <w:tmpl w:val="C3C021BC"/>
    <w:lvl w:ilvl="0" w:tplc="0D3E529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F7B5B00"/>
    <w:multiLevelType w:val="hybridMultilevel"/>
    <w:tmpl w:val="94027E2E"/>
    <w:lvl w:ilvl="0" w:tplc="13E22CB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75E7BB0"/>
    <w:multiLevelType w:val="hybridMultilevel"/>
    <w:tmpl w:val="B9941154"/>
    <w:lvl w:ilvl="0" w:tplc="1AE05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700055"/>
    <w:multiLevelType w:val="hybridMultilevel"/>
    <w:tmpl w:val="044C588C"/>
    <w:lvl w:ilvl="0" w:tplc="9A7CF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7696DC9"/>
    <w:multiLevelType w:val="hybridMultilevel"/>
    <w:tmpl w:val="35881C68"/>
    <w:lvl w:ilvl="0" w:tplc="3552DED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911BED"/>
    <w:multiLevelType w:val="hybridMultilevel"/>
    <w:tmpl w:val="5838DA06"/>
    <w:lvl w:ilvl="0" w:tplc="EC9260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352572A"/>
    <w:multiLevelType w:val="hybridMultilevel"/>
    <w:tmpl w:val="FD9C05A6"/>
    <w:lvl w:ilvl="0" w:tplc="91A62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7803A4"/>
    <w:multiLevelType w:val="hybridMultilevel"/>
    <w:tmpl w:val="9EFEFFE6"/>
    <w:lvl w:ilvl="0" w:tplc="38BA7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849522E"/>
    <w:multiLevelType w:val="hybridMultilevel"/>
    <w:tmpl w:val="072ED4BE"/>
    <w:lvl w:ilvl="0" w:tplc="037AE23E">
      <w:start w:val="1"/>
      <w:numFmt w:val="bullet"/>
      <w:lvlText w:val=""/>
      <w:lvlJc w:val="left"/>
      <w:pPr>
        <w:tabs>
          <w:tab w:val="num" w:pos="720"/>
        </w:tabs>
        <w:ind w:left="720" w:hanging="360"/>
      </w:pPr>
      <w:rPr>
        <w:rFonts w:ascii="Wingdings" w:hAnsi="Wingdings" w:hint="default"/>
      </w:rPr>
    </w:lvl>
    <w:lvl w:ilvl="1" w:tplc="DF80CF46" w:tentative="1">
      <w:start w:val="1"/>
      <w:numFmt w:val="bullet"/>
      <w:lvlText w:val=""/>
      <w:lvlJc w:val="left"/>
      <w:pPr>
        <w:tabs>
          <w:tab w:val="num" w:pos="1440"/>
        </w:tabs>
        <w:ind w:left="1440" w:hanging="360"/>
      </w:pPr>
      <w:rPr>
        <w:rFonts w:ascii="Wingdings" w:hAnsi="Wingdings" w:hint="default"/>
      </w:rPr>
    </w:lvl>
    <w:lvl w:ilvl="2" w:tplc="62E44FE8">
      <w:start w:val="1"/>
      <w:numFmt w:val="bullet"/>
      <w:lvlText w:val=""/>
      <w:lvlJc w:val="left"/>
      <w:pPr>
        <w:tabs>
          <w:tab w:val="num" w:pos="2160"/>
        </w:tabs>
        <w:ind w:left="2160" w:hanging="360"/>
      </w:pPr>
      <w:rPr>
        <w:rFonts w:ascii="Wingdings" w:hAnsi="Wingdings" w:hint="default"/>
      </w:rPr>
    </w:lvl>
    <w:lvl w:ilvl="3" w:tplc="FE8604BC" w:tentative="1">
      <w:start w:val="1"/>
      <w:numFmt w:val="bullet"/>
      <w:lvlText w:val=""/>
      <w:lvlJc w:val="left"/>
      <w:pPr>
        <w:tabs>
          <w:tab w:val="num" w:pos="2880"/>
        </w:tabs>
        <w:ind w:left="2880" w:hanging="360"/>
      </w:pPr>
      <w:rPr>
        <w:rFonts w:ascii="Wingdings" w:hAnsi="Wingdings" w:hint="default"/>
      </w:rPr>
    </w:lvl>
    <w:lvl w:ilvl="4" w:tplc="EEB88944" w:tentative="1">
      <w:start w:val="1"/>
      <w:numFmt w:val="bullet"/>
      <w:lvlText w:val=""/>
      <w:lvlJc w:val="left"/>
      <w:pPr>
        <w:tabs>
          <w:tab w:val="num" w:pos="3600"/>
        </w:tabs>
        <w:ind w:left="3600" w:hanging="360"/>
      </w:pPr>
      <w:rPr>
        <w:rFonts w:ascii="Wingdings" w:hAnsi="Wingdings" w:hint="default"/>
      </w:rPr>
    </w:lvl>
    <w:lvl w:ilvl="5" w:tplc="72303932" w:tentative="1">
      <w:start w:val="1"/>
      <w:numFmt w:val="bullet"/>
      <w:lvlText w:val=""/>
      <w:lvlJc w:val="left"/>
      <w:pPr>
        <w:tabs>
          <w:tab w:val="num" w:pos="4320"/>
        </w:tabs>
        <w:ind w:left="4320" w:hanging="360"/>
      </w:pPr>
      <w:rPr>
        <w:rFonts w:ascii="Wingdings" w:hAnsi="Wingdings" w:hint="default"/>
      </w:rPr>
    </w:lvl>
    <w:lvl w:ilvl="6" w:tplc="B8FC2CD6" w:tentative="1">
      <w:start w:val="1"/>
      <w:numFmt w:val="bullet"/>
      <w:lvlText w:val=""/>
      <w:lvlJc w:val="left"/>
      <w:pPr>
        <w:tabs>
          <w:tab w:val="num" w:pos="5040"/>
        </w:tabs>
        <w:ind w:left="5040" w:hanging="360"/>
      </w:pPr>
      <w:rPr>
        <w:rFonts w:ascii="Wingdings" w:hAnsi="Wingdings" w:hint="default"/>
      </w:rPr>
    </w:lvl>
    <w:lvl w:ilvl="7" w:tplc="6A9C42D8" w:tentative="1">
      <w:start w:val="1"/>
      <w:numFmt w:val="bullet"/>
      <w:lvlText w:val=""/>
      <w:lvlJc w:val="left"/>
      <w:pPr>
        <w:tabs>
          <w:tab w:val="num" w:pos="5760"/>
        </w:tabs>
        <w:ind w:left="5760" w:hanging="360"/>
      </w:pPr>
      <w:rPr>
        <w:rFonts w:ascii="Wingdings" w:hAnsi="Wingdings" w:hint="default"/>
      </w:rPr>
    </w:lvl>
    <w:lvl w:ilvl="8" w:tplc="DD664CD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AA14B9"/>
    <w:multiLevelType w:val="hybridMultilevel"/>
    <w:tmpl w:val="7952B124"/>
    <w:lvl w:ilvl="0" w:tplc="E6F6F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6AF38D1"/>
    <w:multiLevelType w:val="hybridMultilevel"/>
    <w:tmpl w:val="ADCAC56C"/>
    <w:lvl w:ilvl="0" w:tplc="B6B486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A373628"/>
    <w:multiLevelType w:val="hybridMultilevel"/>
    <w:tmpl w:val="BE22A8B0"/>
    <w:lvl w:ilvl="0" w:tplc="FC90E0E0">
      <w:start w:val="1"/>
      <w:numFmt w:val="bullet"/>
      <w:lvlText w:val=""/>
      <w:lvlJc w:val="left"/>
      <w:pPr>
        <w:tabs>
          <w:tab w:val="num" w:pos="720"/>
        </w:tabs>
        <w:ind w:left="720" w:hanging="360"/>
      </w:pPr>
      <w:rPr>
        <w:rFonts w:ascii="Wingdings" w:hAnsi="Wingdings" w:hint="default"/>
      </w:rPr>
    </w:lvl>
    <w:lvl w:ilvl="1" w:tplc="8BA4AC02">
      <w:start w:val="1"/>
      <w:numFmt w:val="bullet"/>
      <w:lvlText w:val=""/>
      <w:lvlJc w:val="left"/>
      <w:pPr>
        <w:tabs>
          <w:tab w:val="num" w:pos="1440"/>
        </w:tabs>
        <w:ind w:left="1440" w:hanging="360"/>
      </w:pPr>
      <w:rPr>
        <w:rFonts w:ascii="Wingdings" w:hAnsi="Wingdings" w:hint="default"/>
      </w:rPr>
    </w:lvl>
    <w:lvl w:ilvl="2" w:tplc="7CD8FE6E" w:tentative="1">
      <w:start w:val="1"/>
      <w:numFmt w:val="bullet"/>
      <w:lvlText w:val=""/>
      <w:lvlJc w:val="left"/>
      <w:pPr>
        <w:tabs>
          <w:tab w:val="num" w:pos="2160"/>
        </w:tabs>
        <w:ind w:left="2160" w:hanging="360"/>
      </w:pPr>
      <w:rPr>
        <w:rFonts w:ascii="Wingdings" w:hAnsi="Wingdings" w:hint="default"/>
      </w:rPr>
    </w:lvl>
    <w:lvl w:ilvl="3" w:tplc="70A6298E" w:tentative="1">
      <w:start w:val="1"/>
      <w:numFmt w:val="bullet"/>
      <w:lvlText w:val=""/>
      <w:lvlJc w:val="left"/>
      <w:pPr>
        <w:tabs>
          <w:tab w:val="num" w:pos="2880"/>
        </w:tabs>
        <w:ind w:left="2880" w:hanging="360"/>
      </w:pPr>
      <w:rPr>
        <w:rFonts w:ascii="Wingdings" w:hAnsi="Wingdings" w:hint="default"/>
      </w:rPr>
    </w:lvl>
    <w:lvl w:ilvl="4" w:tplc="9DC86BB0" w:tentative="1">
      <w:start w:val="1"/>
      <w:numFmt w:val="bullet"/>
      <w:lvlText w:val=""/>
      <w:lvlJc w:val="left"/>
      <w:pPr>
        <w:tabs>
          <w:tab w:val="num" w:pos="3600"/>
        </w:tabs>
        <w:ind w:left="3600" w:hanging="360"/>
      </w:pPr>
      <w:rPr>
        <w:rFonts w:ascii="Wingdings" w:hAnsi="Wingdings" w:hint="default"/>
      </w:rPr>
    </w:lvl>
    <w:lvl w:ilvl="5" w:tplc="A63613D6" w:tentative="1">
      <w:start w:val="1"/>
      <w:numFmt w:val="bullet"/>
      <w:lvlText w:val=""/>
      <w:lvlJc w:val="left"/>
      <w:pPr>
        <w:tabs>
          <w:tab w:val="num" w:pos="4320"/>
        </w:tabs>
        <w:ind w:left="4320" w:hanging="360"/>
      </w:pPr>
      <w:rPr>
        <w:rFonts w:ascii="Wingdings" w:hAnsi="Wingdings" w:hint="default"/>
      </w:rPr>
    </w:lvl>
    <w:lvl w:ilvl="6" w:tplc="71AC7766" w:tentative="1">
      <w:start w:val="1"/>
      <w:numFmt w:val="bullet"/>
      <w:lvlText w:val=""/>
      <w:lvlJc w:val="left"/>
      <w:pPr>
        <w:tabs>
          <w:tab w:val="num" w:pos="5040"/>
        </w:tabs>
        <w:ind w:left="5040" w:hanging="360"/>
      </w:pPr>
      <w:rPr>
        <w:rFonts w:ascii="Wingdings" w:hAnsi="Wingdings" w:hint="default"/>
      </w:rPr>
    </w:lvl>
    <w:lvl w:ilvl="7" w:tplc="0ED2E0A0" w:tentative="1">
      <w:start w:val="1"/>
      <w:numFmt w:val="bullet"/>
      <w:lvlText w:val=""/>
      <w:lvlJc w:val="left"/>
      <w:pPr>
        <w:tabs>
          <w:tab w:val="num" w:pos="5760"/>
        </w:tabs>
        <w:ind w:left="5760" w:hanging="360"/>
      </w:pPr>
      <w:rPr>
        <w:rFonts w:ascii="Wingdings" w:hAnsi="Wingdings" w:hint="default"/>
      </w:rPr>
    </w:lvl>
    <w:lvl w:ilvl="8" w:tplc="EF74EF7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355E30"/>
    <w:multiLevelType w:val="hybridMultilevel"/>
    <w:tmpl w:val="B8763B34"/>
    <w:lvl w:ilvl="0" w:tplc="7DFCD242">
      <w:start w:val="1"/>
      <w:numFmt w:val="japaneseCounting"/>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5" w15:restartNumberingAfterBreak="0">
    <w:nsid w:val="66F62A73"/>
    <w:multiLevelType w:val="hybridMultilevel"/>
    <w:tmpl w:val="90824FD4"/>
    <w:lvl w:ilvl="0" w:tplc="EA8C98CC">
      <w:start w:val="1"/>
      <w:numFmt w:val="bullet"/>
      <w:lvlText w:val="•"/>
      <w:lvlJc w:val="left"/>
      <w:pPr>
        <w:tabs>
          <w:tab w:val="num" w:pos="720"/>
        </w:tabs>
        <w:ind w:left="720" w:hanging="360"/>
      </w:pPr>
      <w:rPr>
        <w:rFonts w:ascii="宋体" w:hAnsi="宋体" w:hint="default"/>
      </w:rPr>
    </w:lvl>
    <w:lvl w:ilvl="1" w:tplc="399C79AA" w:tentative="1">
      <w:start w:val="1"/>
      <w:numFmt w:val="bullet"/>
      <w:lvlText w:val="•"/>
      <w:lvlJc w:val="left"/>
      <w:pPr>
        <w:tabs>
          <w:tab w:val="num" w:pos="1440"/>
        </w:tabs>
        <w:ind w:left="1440" w:hanging="360"/>
      </w:pPr>
      <w:rPr>
        <w:rFonts w:ascii="宋体" w:hAnsi="宋体" w:hint="default"/>
      </w:rPr>
    </w:lvl>
    <w:lvl w:ilvl="2" w:tplc="0060A6FC" w:tentative="1">
      <w:start w:val="1"/>
      <w:numFmt w:val="bullet"/>
      <w:lvlText w:val="•"/>
      <w:lvlJc w:val="left"/>
      <w:pPr>
        <w:tabs>
          <w:tab w:val="num" w:pos="2160"/>
        </w:tabs>
        <w:ind w:left="2160" w:hanging="360"/>
      </w:pPr>
      <w:rPr>
        <w:rFonts w:ascii="宋体" w:hAnsi="宋体" w:hint="default"/>
      </w:rPr>
    </w:lvl>
    <w:lvl w:ilvl="3" w:tplc="A6A82F04" w:tentative="1">
      <w:start w:val="1"/>
      <w:numFmt w:val="bullet"/>
      <w:lvlText w:val="•"/>
      <w:lvlJc w:val="left"/>
      <w:pPr>
        <w:tabs>
          <w:tab w:val="num" w:pos="2880"/>
        </w:tabs>
        <w:ind w:left="2880" w:hanging="360"/>
      </w:pPr>
      <w:rPr>
        <w:rFonts w:ascii="宋体" w:hAnsi="宋体" w:hint="default"/>
      </w:rPr>
    </w:lvl>
    <w:lvl w:ilvl="4" w:tplc="2FE6E9BA" w:tentative="1">
      <w:start w:val="1"/>
      <w:numFmt w:val="bullet"/>
      <w:lvlText w:val="•"/>
      <w:lvlJc w:val="left"/>
      <w:pPr>
        <w:tabs>
          <w:tab w:val="num" w:pos="3600"/>
        </w:tabs>
        <w:ind w:left="3600" w:hanging="360"/>
      </w:pPr>
      <w:rPr>
        <w:rFonts w:ascii="宋体" w:hAnsi="宋体" w:hint="default"/>
      </w:rPr>
    </w:lvl>
    <w:lvl w:ilvl="5" w:tplc="0DEEC454" w:tentative="1">
      <w:start w:val="1"/>
      <w:numFmt w:val="bullet"/>
      <w:lvlText w:val="•"/>
      <w:lvlJc w:val="left"/>
      <w:pPr>
        <w:tabs>
          <w:tab w:val="num" w:pos="4320"/>
        </w:tabs>
        <w:ind w:left="4320" w:hanging="360"/>
      </w:pPr>
      <w:rPr>
        <w:rFonts w:ascii="宋体" w:hAnsi="宋体" w:hint="default"/>
      </w:rPr>
    </w:lvl>
    <w:lvl w:ilvl="6" w:tplc="5E2293F6" w:tentative="1">
      <w:start w:val="1"/>
      <w:numFmt w:val="bullet"/>
      <w:lvlText w:val="•"/>
      <w:lvlJc w:val="left"/>
      <w:pPr>
        <w:tabs>
          <w:tab w:val="num" w:pos="5040"/>
        </w:tabs>
        <w:ind w:left="5040" w:hanging="360"/>
      </w:pPr>
      <w:rPr>
        <w:rFonts w:ascii="宋体" w:hAnsi="宋体" w:hint="default"/>
      </w:rPr>
    </w:lvl>
    <w:lvl w:ilvl="7" w:tplc="E3303078" w:tentative="1">
      <w:start w:val="1"/>
      <w:numFmt w:val="bullet"/>
      <w:lvlText w:val="•"/>
      <w:lvlJc w:val="left"/>
      <w:pPr>
        <w:tabs>
          <w:tab w:val="num" w:pos="5760"/>
        </w:tabs>
        <w:ind w:left="5760" w:hanging="360"/>
      </w:pPr>
      <w:rPr>
        <w:rFonts w:ascii="宋体" w:hAnsi="宋体" w:hint="default"/>
      </w:rPr>
    </w:lvl>
    <w:lvl w:ilvl="8" w:tplc="E702BDB0" w:tentative="1">
      <w:start w:val="1"/>
      <w:numFmt w:val="bullet"/>
      <w:lvlText w:val="•"/>
      <w:lvlJc w:val="left"/>
      <w:pPr>
        <w:tabs>
          <w:tab w:val="num" w:pos="6480"/>
        </w:tabs>
        <w:ind w:left="6480" w:hanging="360"/>
      </w:pPr>
      <w:rPr>
        <w:rFonts w:ascii="宋体" w:hAnsi="宋体" w:hint="default"/>
      </w:rPr>
    </w:lvl>
  </w:abstractNum>
  <w:num w:numId="1">
    <w:abstractNumId w:val="7"/>
  </w:num>
  <w:num w:numId="2">
    <w:abstractNumId w:val="6"/>
  </w:num>
  <w:num w:numId="3">
    <w:abstractNumId w:val="3"/>
  </w:num>
  <w:num w:numId="4">
    <w:abstractNumId w:val="14"/>
  </w:num>
  <w:num w:numId="5">
    <w:abstractNumId w:val="0"/>
  </w:num>
  <w:num w:numId="6">
    <w:abstractNumId w:val="2"/>
  </w:num>
  <w:num w:numId="7">
    <w:abstractNumId w:val="12"/>
  </w:num>
  <w:num w:numId="8">
    <w:abstractNumId w:val="1"/>
  </w:num>
  <w:num w:numId="9">
    <w:abstractNumId w:val="10"/>
  </w:num>
  <w:num w:numId="10">
    <w:abstractNumId w:val="13"/>
  </w:num>
  <w:num w:numId="11">
    <w:abstractNumId w:val="15"/>
  </w:num>
  <w:num w:numId="12">
    <w:abstractNumId w:val="9"/>
  </w:num>
  <w:num w:numId="13">
    <w:abstractNumId w:val="4"/>
  </w:num>
  <w:num w:numId="14">
    <w:abstractNumId w:val="5"/>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30"/>
    <w:rsid w:val="000046DA"/>
    <w:rsid w:val="000143B9"/>
    <w:rsid w:val="0001608F"/>
    <w:rsid w:val="000177B8"/>
    <w:rsid w:val="000227A1"/>
    <w:rsid w:val="000278F9"/>
    <w:rsid w:val="00031A56"/>
    <w:rsid w:val="0003260F"/>
    <w:rsid w:val="00032641"/>
    <w:rsid w:val="00032D6C"/>
    <w:rsid w:val="00043647"/>
    <w:rsid w:val="00046EB9"/>
    <w:rsid w:val="000530FB"/>
    <w:rsid w:val="000541F2"/>
    <w:rsid w:val="000560B4"/>
    <w:rsid w:val="000576C1"/>
    <w:rsid w:val="00061C6B"/>
    <w:rsid w:val="000641F3"/>
    <w:rsid w:val="0006498A"/>
    <w:rsid w:val="00071B17"/>
    <w:rsid w:val="000776E3"/>
    <w:rsid w:val="00083867"/>
    <w:rsid w:val="00086193"/>
    <w:rsid w:val="0008695A"/>
    <w:rsid w:val="00087618"/>
    <w:rsid w:val="00093781"/>
    <w:rsid w:val="000944F1"/>
    <w:rsid w:val="00097775"/>
    <w:rsid w:val="000A09B1"/>
    <w:rsid w:val="000A234E"/>
    <w:rsid w:val="000B00FB"/>
    <w:rsid w:val="000C57FF"/>
    <w:rsid w:val="000C7BB8"/>
    <w:rsid w:val="000D0337"/>
    <w:rsid w:val="000D0FAB"/>
    <w:rsid w:val="000D7907"/>
    <w:rsid w:val="000E115C"/>
    <w:rsid w:val="000F15D1"/>
    <w:rsid w:val="000F7548"/>
    <w:rsid w:val="0010445C"/>
    <w:rsid w:val="00105452"/>
    <w:rsid w:val="001055D8"/>
    <w:rsid w:val="00106057"/>
    <w:rsid w:val="001074D5"/>
    <w:rsid w:val="001101BA"/>
    <w:rsid w:val="00111171"/>
    <w:rsid w:val="00111B76"/>
    <w:rsid w:val="00114B8C"/>
    <w:rsid w:val="00123CFA"/>
    <w:rsid w:val="001311EB"/>
    <w:rsid w:val="001328C5"/>
    <w:rsid w:val="001338B4"/>
    <w:rsid w:val="0014000D"/>
    <w:rsid w:val="001463C5"/>
    <w:rsid w:val="00151284"/>
    <w:rsid w:val="00151A41"/>
    <w:rsid w:val="00152184"/>
    <w:rsid w:val="00152A17"/>
    <w:rsid w:val="0015340B"/>
    <w:rsid w:val="00161A46"/>
    <w:rsid w:val="00163011"/>
    <w:rsid w:val="001668E1"/>
    <w:rsid w:val="00167A17"/>
    <w:rsid w:val="0017253A"/>
    <w:rsid w:val="00196635"/>
    <w:rsid w:val="00197189"/>
    <w:rsid w:val="001A14D8"/>
    <w:rsid w:val="001A6996"/>
    <w:rsid w:val="001B62BC"/>
    <w:rsid w:val="001B69CC"/>
    <w:rsid w:val="001C4D8D"/>
    <w:rsid w:val="001C5BB1"/>
    <w:rsid w:val="001D6B24"/>
    <w:rsid w:val="001D7B51"/>
    <w:rsid w:val="001D7E87"/>
    <w:rsid w:val="001E1DC6"/>
    <w:rsid w:val="001E32C0"/>
    <w:rsid w:val="001E7E35"/>
    <w:rsid w:val="001F2CD6"/>
    <w:rsid w:val="001F6398"/>
    <w:rsid w:val="0020606D"/>
    <w:rsid w:val="0021636F"/>
    <w:rsid w:val="00226289"/>
    <w:rsid w:val="002426FF"/>
    <w:rsid w:val="002552CF"/>
    <w:rsid w:val="00257FC7"/>
    <w:rsid w:val="00260D29"/>
    <w:rsid w:val="00264ACC"/>
    <w:rsid w:val="0026658E"/>
    <w:rsid w:val="002715B6"/>
    <w:rsid w:val="00271A35"/>
    <w:rsid w:val="00276854"/>
    <w:rsid w:val="0028652E"/>
    <w:rsid w:val="002938C2"/>
    <w:rsid w:val="002939AB"/>
    <w:rsid w:val="00295A20"/>
    <w:rsid w:val="002A3B00"/>
    <w:rsid w:val="002A67CA"/>
    <w:rsid w:val="002B1257"/>
    <w:rsid w:val="002B6D08"/>
    <w:rsid w:val="002C5A0C"/>
    <w:rsid w:val="002E1981"/>
    <w:rsid w:val="002E4483"/>
    <w:rsid w:val="002E6DFA"/>
    <w:rsid w:val="002E7C9B"/>
    <w:rsid w:val="002F38D5"/>
    <w:rsid w:val="002F6F86"/>
    <w:rsid w:val="003034B4"/>
    <w:rsid w:val="0030414E"/>
    <w:rsid w:val="00307D47"/>
    <w:rsid w:val="00310B97"/>
    <w:rsid w:val="00323718"/>
    <w:rsid w:val="00326E97"/>
    <w:rsid w:val="00327828"/>
    <w:rsid w:val="00330C1D"/>
    <w:rsid w:val="00334654"/>
    <w:rsid w:val="00334B36"/>
    <w:rsid w:val="00337463"/>
    <w:rsid w:val="0035259D"/>
    <w:rsid w:val="00353641"/>
    <w:rsid w:val="0035475C"/>
    <w:rsid w:val="00356936"/>
    <w:rsid w:val="00360C98"/>
    <w:rsid w:val="00364F8C"/>
    <w:rsid w:val="00376436"/>
    <w:rsid w:val="00377DF3"/>
    <w:rsid w:val="003806C6"/>
    <w:rsid w:val="003838CA"/>
    <w:rsid w:val="003859B8"/>
    <w:rsid w:val="00386AAB"/>
    <w:rsid w:val="00393BC6"/>
    <w:rsid w:val="003957D7"/>
    <w:rsid w:val="00395E8B"/>
    <w:rsid w:val="003A0336"/>
    <w:rsid w:val="003B1ACE"/>
    <w:rsid w:val="003B21DB"/>
    <w:rsid w:val="003C03F1"/>
    <w:rsid w:val="003C4449"/>
    <w:rsid w:val="003C4DB2"/>
    <w:rsid w:val="003D01EE"/>
    <w:rsid w:val="003D1B5E"/>
    <w:rsid w:val="003E57E7"/>
    <w:rsid w:val="004002F9"/>
    <w:rsid w:val="00404325"/>
    <w:rsid w:val="00406677"/>
    <w:rsid w:val="00407F91"/>
    <w:rsid w:val="00413396"/>
    <w:rsid w:val="00414046"/>
    <w:rsid w:val="00414F72"/>
    <w:rsid w:val="004225CC"/>
    <w:rsid w:val="00424B28"/>
    <w:rsid w:val="00425F24"/>
    <w:rsid w:val="0042667A"/>
    <w:rsid w:val="00432EC7"/>
    <w:rsid w:val="00433581"/>
    <w:rsid w:val="00435577"/>
    <w:rsid w:val="00435CA2"/>
    <w:rsid w:val="00441D9E"/>
    <w:rsid w:val="00442485"/>
    <w:rsid w:val="00451485"/>
    <w:rsid w:val="004525CE"/>
    <w:rsid w:val="004535D1"/>
    <w:rsid w:val="00462F94"/>
    <w:rsid w:val="00466BBC"/>
    <w:rsid w:val="00474A4B"/>
    <w:rsid w:val="00496A51"/>
    <w:rsid w:val="00496B8F"/>
    <w:rsid w:val="00496ECC"/>
    <w:rsid w:val="004A3661"/>
    <w:rsid w:val="004B03F6"/>
    <w:rsid w:val="004C1174"/>
    <w:rsid w:val="004D33FA"/>
    <w:rsid w:val="004E0CBF"/>
    <w:rsid w:val="004E22A7"/>
    <w:rsid w:val="004E441B"/>
    <w:rsid w:val="004E54AF"/>
    <w:rsid w:val="004F0DE2"/>
    <w:rsid w:val="004F3E6A"/>
    <w:rsid w:val="00502970"/>
    <w:rsid w:val="00502D7C"/>
    <w:rsid w:val="00514BA3"/>
    <w:rsid w:val="00536B7E"/>
    <w:rsid w:val="00545ED1"/>
    <w:rsid w:val="00547E1A"/>
    <w:rsid w:val="005543F8"/>
    <w:rsid w:val="005613EB"/>
    <w:rsid w:val="00561CEB"/>
    <w:rsid w:val="005646E2"/>
    <w:rsid w:val="00581B52"/>
    <w:rsid w:val="005839CD"/>
    <w:rsid w:val="00584658"/>
    <w:rsid w:val="005A1ACA"/>
    <w:rsid w:val="005B11B7"/>
    <w:rsid w:val="005B1515"/>
    <w:rsid w:val="005B3234"/>
    <w:rsid w:val="005B6548"/>
    <w:rsid w:val="005C070E"/>
    <w:rsid w:val="005C20ED"/>
    <w:rsid w:val="005C4498"/>
    <w:rsid w:val="005C4AE6"/>
    <w:rsid w:val="005D3579"/>
    <w:rsid w:val="005D4754"/>
    <w:rsid w:val="005E4032"/>
    <w:rsid w:val="005E58BC"/>
    <w:rsid w:val="00602152"/>
    <w:rsid w:val="0061246F"/>
    <w:rsid w:val="00620730"/>
    <w:rsid w:val="00627333"/>
    <w:rsid w:val="00662F66"/>
    <w:rsid w:val="0066650E"/>
    <w:rsid w:val="0066760E"/>
    <w:rsid w:val="00674579"/>
    <w:rsid w:val="00683431"/>
    <w:rsid w:val="006900CD"/>
    <w:rsid w:val="0069590C"/>
    <w:rsid w:val="006A01C6"/>
    <w:rsid w:val="006A2299"/>
    <w:rsid w:val="006A3543"/>
    <w:rsid w:val="006B03E0"/>
    <w:rsid w:val="006B1A72"/>
    <w:rsid w:val="006B1A79"/>
    <w:rsid w:val="006B4D24"/>
    <w:rsid w:val="006C089A"/>
    <w:rsid w:val="006C31FC"/>
    <w:rsid w:val="006C4289"/>
    <w:rsid w:val="006C4F8F"/>
    <w:rsid w:val="006D5066"/>
    <w:rsid w:val="006D6600"/>
    <w:rsid w:val="006E328A"/>
    <w:rsid w:val="006E4BA9"/>
    <w:rsid w:val="006F527A"/>
    <w:rsid w:val="00701DF8"/>
    <w:rsid w:val="00704BC5"/>
    <w:rsid w:val="00706351"/>
    <w:rsid w:val="007108B4"/>
    <w:rsid w:val="00717A70"/>
    <w:rsid w:val="00724FCF"/>
    <w:rsid w:val="007302C9"/>
    <w:rsid w:val="007420E5"/>
    <w:rsid w:val="007601CC"/>
    <w:rsid w:val="0076126A"/>
    <w:rsid w:val="00764C29"/>
    <w:rsid w:val="0078127B"/>
    <w:rsid w:val="007819F5"/>
    <w:rsid w:val="0078292C"/>
    <w:rsid w:val="007859AF"/>
    <w:rsid w:val="007867C2"/>
    <w:rsid w:val="00790EC6"/>
    <w:rsid w:val="007A0C11"/>
    <w:rsid w:val="007A5D2D"/>
    <w:rsid w:val="007B0613"/>
    <w:rsid w:val="007B29B9"/>
    <w:rsid w:val="007B356A"/>
    <w:rsid w:val="007C1F56"/>
    <w:rsid w:val="007D3010"/>
    <w:rsid w:val="007D6B39"/>
    <w:rsid w:val="007E194C"/>
    <w:rsid w:val="007E29CE"/>
    <w:rsid w:val="007F6019"/>
    <w:rsid w:val="0080062D"/>
    <w:rsid w:val="00800FF1"/>
    <w:rsid w:val="00805F54"/>
    <w:rsid w:val="00811BE5"/>
    <w:rsid w:val="00811F72"/>
    <w:rsid w:val="0083443A"/>
    <w:rsid w:val="00834827"/>
    <w:rsid w:val="008426D9"/>
    <w:rsid w:val="00845E92"/>
    <w:rsid w:val="008469BE"/>
    <w:rsid w:val="00852987"/>
    <w:rsid w:val="00856E52"/>
    <w:rsid w:val="00861CE2"/>
    <w:rsid w:val="008628F0"/>
    <w:rsid w:val="008663A2"/>
    <w:rsid w:val="008668E1"/>
    <w:rsid w:val="00867C8A"/>
    <w:rsid w:val="00867E1E"/>
    <w:rsid w:val="0087086A"/>
    <w:rsid w:val="00877F92"/>
    <w:rsid w:val="00882F6B"/>
    <w:rsid w:val="00883028"/>
    <w:rsid w:val="0088353C"/>
    <w:rsid w:val="008849E5"/>
    <w:rsid w:val="00885F5F"/>
    <w:rsid w:val="00887674"/>
    <w:rsid w:val="00895687"/>
    <w:rsid w:val="008A3A08"/>
    <w:rsid w:val="008A3D34"/>
    <w:rsid w:val="008A6F31"/>
    <w:rsid w:val="008B52B7"/>
    <w:rsid w:val="008B55EA"/>
    <w:rsid w:val="008B7FE7"/>
    <w:rsid w:val="008C2A4C"/>
    <w:rsid w:val="008C50FA"/>
    <w:rsid w:val="008D2D6F"/>
    <w:rsid w:val="008D34BA"/>
    <w:rsid w:val="008D5C17"/>
    <w:rsid w:val="008E3F08"/>
    <w:rsid w:val="008E6192"/>
    <w:rsid w:val="0090170D"/>
    <w:rsid w:val="00901C5C"/>
    <w:rsid w:val="00906477"/>
    <w:rsid w:val="009076D3"/>
    <w:rsid w:val="00910406"/>
    <w:rsid w:val="00911482"/>
    <w:rsid w:val="00912981"/>
    <w:rsid w:val="0092438A"/>
    <w:rsid w:val="0092484A"/>
    <w:rsid w:val="00931036"/>
    <w:rsid w:val="00937BDB"/>
    <w:rsid w:val="0094164D"/>
    <w:rsid w:val="00944A42"/>
    <w:rsid w:val="00961F39"/>
    <w:rsid w:val="00965D54"/>
    <w:rsid w:val="009748D5"/>
    <w:rsid w:val="009770BE"/>
    <w:rsid w:val="0097768A"/>
    <w:rsid w:val="00977E44"/>
    <w:rsid w:val="00982F49"/>
    <w:rsid w:val="00990AAE"/>
    <w:rsid w:val="00993536"/>
    <w:rsid w:val="0099571B"/>
    <w:rsid w:val="009A134C"/>
    <w:rsid w:val="009A3384"/>
    <w:rsid w:val="009A7414"/>
    <w:rsid w:val="009C437C"/>
    <w:rsid w:val="009C62EE"/>
    <w:rsid w:val="009D2FDB"/>
    <w:rsid w:val="009D5002"/>
    <w:rsid w:val="009D69A0"/>
    <w:rsid w:val="009D77AC"/>
    <w:rsid w:val="009E59FA"/>
    <w:rsid w:val="009F067D"/>
    <w:rsid w:val="009F07C5"/>
    <w:rsid w:val="00A0282B"/>
    <w:rsid w:val="00A06C60"/>
    <w:rsid w:val="00A12118"/>
    <w:rsid w:val="00A15832"/>
    <w:rsid w:val="00A23253"/>
    <w:rsid w:val="00A311D3"/>
    <w:rsid w:val="00A46E9E"/>
    <w:rsid w:val="00A517EC"/>
    <w:rsid w:val="00A52F46"/>
    <w:rsid w:val="00A5402A"/>
    <w:rsid w:val="00A545C9"/>
    <w:rsid w:val="00A64028"/>
    <w:rsid w:val="00A65290"/>
    <w:rsid w:val="00A73098"/>
    <w:rsid w:val="00A743AB"/>
    <w:rsid w:val="00A77E16"/>
    <w:rsid w:val="00A82211"/>
    <w:rsid w:val="00A8390B"/>
    <w:rsid w:val="00A86117"/>
    <w:rsid w:val="00AA19D5"/>
    <w:rsid w:val="00AB445B"/>
    <w:rsid w:val="00AB4832"/>
    <w:rsid w:val="00AB62A6"/>
    <w:rsid w:val="00AC708B"/>
    <w:rsid w:val="00AD0B02"/>
    <w:rsid w:val="00AD17F8"/>
    <w:rsid w:val="00AD5C1B"/>
    <w:rsid w:val="00AD7D4C"/>
    <w:rsid w:val="00AE1C23"/>
    <w:rsid w:val="00AE3E24"/>
    <w:rsid w:val="00AE5714"/>
    <w:rsid w:val="00AE7323"/>
    <w:rsid w:val="00AF6704"/>
    <w:rsid w:val="00AF76EF"/>
    <w:rsid w:val="00B0418D"/>
    <w:rsid w:val="00B047EB"/>
    <w:rsid w:val="00B04A14"/>
    <w:rsid w:val="00B1108A"/>
    <w:rsid w:val="00B20A9B"/>
    <w:rsid w:val="00B25C25"/>
    <w:rsid w:val="00B30D91"/>
    <w:rsid w:val="00B31D23"/>
    <w:rsid w:val="00B36AA0"/>
    <w:rsid w:val="00B465DD"/>
    <w:rsid w:val="00B47196"/>
    <w:rsid w:val="00B568E2"/>
    <w:rsid w:val="00B60C86"/>
    <w:rsid w:val="00B60F60"/>
    <w:rsid w:val="00B61A63"/>
    <w:rsid w:val="00B65ADD"/>
    <w:rsid w:val="00B8277B"/>
    <w:rsid w:val="00B83CCB"/>
    <w:rsid w:val="00B87368"/>
    <w:rsid w:val="00B87B39"/>
    <w:rsid w:val="00B94ACF"/>
    <w:rsid w:val="00B96C1C"/>
    <w:rsid w:val="00BA26E1"/>
    <w:rsid w:val="00BA36A3"/>
    <w:rsid w:val="00BB4A7A"/>
    <w:rsid w:val="00BB58CD"/>
    <w:rsid w:val="00BB5A3F"/>
    <w:rsid w:val="00BD370D"/>
    <w:rsid w:val="00BD7BB6"/>
    <w:rsid w:val="00BE0EEA"/>
    <w:rsid w:val="00BE3A1D"/>
    <w:rsid w:val="00BF0106"/>
    <w:rsid w:val="00BF17A8"/>
    <w:rsid w:val="00BF6524"/>
    <w:rsid w:val="00C0119A"/>
    <w:rsid w:val="00C208A6"/>
    <w:rsid w:val="00C213B1"/>
    <w:rsid w:val="00C26947"/>
    <w:rsid w:val="00C323F1"/>
    <w:rsid w:val="00C44175"/>
    <w:rsid w:val="00C46C77"/>
    <w:rsid w:val="00C53FB4"/>
    <w:rsid w:val="00C65CC9"/>
    <w:rsid w:val="00C67D31"/>
    <w:rsid w:val="00C75BE6"/>
    <w:rsid w:val="00C7708D"/>
    <w:rsid w:val="00C7755F"/>
    <w:rsid w:val="00C77ADC"/>
    <w:rsid w:val="00C84221"/>
    <w:rsid w:val="00C86156"/>
    <w:rsid w:val="00C86FEA"/>
    <w:rsid w:val="00C912A9"/>
    <w:rsid w:val="00C91ABD"/>
    <w:rsid w:val="00C94BE1"/>
    <w:rsid w:val="00CB1F1B"/>
    <w:rsid w:val="00CB36CD"/>
    <w:rsid w:val="00CB53C5"/>
    <w:rsid w:val="00CC5445"/>
    <w:rsid w:val="00CD3B4D"/>
    <w:rsid w:val="00CD6D9F"/>
    <w:rsid w:val="00CE155D"/>
    <w:rsid w:val="00CE303F"/>
    <w:rsid w:val="00CE3945"/>
    <w:rsid w:val="00CE5FA9"/>
    <w:rsid w:val="00CF1B8C"/>
    <w:rsid w:val="00CF2995"/>
    <w:rsid w:val="00CF3981"/>
    <w:rsid w:val="00D00F4A"/>
    <w:rsid w:val="00D022FB"/>
    <w:rsid w:val="00D03C7F"/>
    <w:rsid w:val="00D078BB"/>
    <w:rsid w:val="00D079A2"/>
    <w:rsid w:val="00D12739"/>
    <w:rsid w:val="00D1754F"/>
    <w:rsid w:val="00D206EE"/>
    <w:rsid w:val="00D264C8"/>
    <w:rsid w:val="00D32822"/>
    <w:rsid w:val="00D37DC7"/>
    <w:rsid w:val="00D42DEF"/>
    <w:rsid w:val="00D4534B"/>
    <w:rsid w:val="00D573C8"/>
    <w:rsid w:val="00D7304E"/>
    <w:rsid w:val="00D864BB"/>
    <w:rsid w:val="00D93B96"/>
    <w:rsid w:val="00DA3AF5"/>
    <w:rsid w:val="00DA4B80"/>
    <w:rsid w:val="00DA5EFC"/>
    <w:rsid w:val="00DB21F2"/>
    <w:rsid w:val="00DC61BE"/>
    <w:rsid w:val="00DC79A9"/>
    <w:rsid w:val="00DD0596"/>
    <w:rsid w:val="00DD0FEA"/>
    <w:rsid w:val="00DD1780"/>
    <w:rsid w:val="00DD2933"/>
    <w:rsid w:val="00DD4B0C"/>
    <w:rsid w:val="00DD7044"/>
    <w:rsid w:val="00DF36F5"/>
    <w:rsid w:val="00DF6036"/>
    <w:rsid w:val="00DF6ED4"/>
    <w:rsid w:val="00DF7E98"/>
    <w:rsid w:val="00E012F5"/>
    <w:rsid w:val="00E13EB9"/>
    <w:rsid w:val="00E30902"/>
    <w:rsid w:val="00E31887"/>
    <w:rsid w:val="00E31C8D"/>
    <w:rsid w:val="00E359E5"/>
    <w:rsid w:val="00E4254D"/>
    <w:rsid w:val="00E44524"/>
    <w:rsid w:val="00E711AA"/>
    <w:rsid w:val="00E72E82"/>
    <w:rsid w:val="00E7397E"/>
    <w:rsid w:val="00E75E92"/>
    <w:rsid w:val="00E8004A"/>
    <w:rsid w:val="00E818BF"/>
    <w:rsid w:val="00E83CD9"/>
    <w:rsid w:val="00E87887"/>
    <w:rsid w:val="00E87A3B"/>
    <w:rsid w:val="00E96311"/>
    <w:rsid w:val="00EA3561"/>
    <w:rsid w:val="00EB1278"/>
    <w:rsid w:val="00EB3D20"/>
    <w:rsid w:val="00EB5448"/>
    <w:rsid w:val="00EE01CC"/>
    <w:rsid w:val="00EE696D"/>
    <w:rsid w:val="00F01578"/>
    <w:rsid w:val="00F026BF"/>
    <w:rsid w:val="00F157B8"/>
    <w:rsid w:val="00F17232"/>
    <w:rsid w:val="00F17F47"/>
    <w:rsid w:val="00F268B6"/>
    <w:rsid w:val="00F30E4B"/>
    <w:rsid w:val="00F337FC"/>
    <w:rsid w:val="00F40A8C"/>
    <w:rsid w:val="00F51928"/>
    <w:rsid w:val="00F532A1"/>
    <w:rsid w:val="00F5380E"/>
    <w:rsid w:val="00F6091E"/>
    <w:rsid w:val="00F62175"/>
    <w:rsid w:val="00F63416"/>
    <w:rsid w:val="00F63EB7"/>
    <w:rsid w:val="00F65CD5"/>
    <w:rsid w:val="00F678F2"/>
    <w:rsid w:val="00F71C81"/>
    <w:rsid w:val="00F74427"/>
    <w:rsid w:val="00F80270"/>
    <w:rsid w:val="00F96A37"/>
    <w:rsid w:val="00F96F5F"/>
    <w:rsid w:val="00FC5BB6"/>
    <w:rsid w:val="00FC7ED4"/>
    <w:rsid w:val="00FD1B9C"/>
    <w:rsid w:val="00FD6345"/>
    <w:rsid w:val="00FE2700"/>
    <w:rsid w:val="00FE42B8"/>
    <w:rsid w:val="00FE4747"/>
    <w:rsid w:val="00FE6E2A"/>
    <w:rsid w:val="00FE7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F4E71"/>
  <w15:docId w15:val="{A455E56A-1B2D-4B97-B1A4-6029CB68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3C8"/>
    <w:pPr>
      <w:widowControl w:val="0"/>
      <w:jc w:val="both"/>
    </w:pPr>
  </w:style>
  <w:style w:type="paragraph" w:styleId="2">
    <w:name w:val="heading 2"/>
    <w:basedOn w:val="a"/>
    <w:next w:val="a"/>
    <w:link w:val="20"/>
    <w:unhideWhenUsed/>
    <w:qFormat/>
    <w:rsid w:val="00931036"/>
    <w:pPr>
      <w:keepNext/>
      <w:keepLines/>
      <w:outlineLvl w:val="1"/>
    </w:pPr>
    <w:rPr>
      <w:rFonts w:ascii="宋体" w:eastAsia="宋体" w:hAnsi="宋体" w:cs="Times New Roman"/>
      <w:b/>
      <w:bCs/>
      <w:sz w:val="18"/>
      <w:szCs w:val="18"/>
      <w:lang w:val="x-none" w:eastAsia="x-none"/>
    </w:rPr>
  </w:style>
  <w:style w:type="paragraph" w:styleId="3">
    <w:name w:val="heading 3"/>
    <w:basedOn w:val="a"/>
    <w:next w:val="a"/>
    <w:link w:val="30"/>
    <w:uiPriority w:val="9"/>
    <w:unhideWhenUsed/>
    <w:qFormat/>
    <w:rsid w:val="007B29B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0730"/>
    <w:pPr>
      <w:ind w:leftChars="2500" w:left="100"/>
    </w:pPr>
  </w:style>
  <w:style w:type="character" w:customStyle="1" w:styleId="a4">
    <w:name w:val="日期 字符"/>
    <w:basedOn w:val="a0"/>
    <w:link w:val="a3"/>
    <w:uiPriority w:val="99"/>
    <w:semiHidden/>
    <w:rsid w:val="00620730"/>
  </w:style>
  <w:style w:type="paragraph" w:styleId="a5">
    <w:name w:val="header"/>
    <w:basedOn w:val="a"/>
    <w:link w:val="a6"/>
    <w:uiPriority w:val="99"/>
    <w:unhideWhenUsed/>
    <w:rsid w:val="0010605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06057"/>
    <w:rPr>
      <w:sz w:val="18"/>
      <w:szCs w:val="18"/>
    </w:rPr>
  </w:style>
  <w:style w:type="paragraph" w:styleId="a7">
    <w:name w:val="footer"/>
    <w:basedOn w:val="a"/>
    <w:link w:val="a8"/>
    <w:uiPriority w:val="99"/>
    <w:unhideWhenUsed/>
    <w:rsid w:val="00106057"/>
    <w:pPr>
      <w:tabs>
        <w:tab w:val="center" w:pos="4153"/>
        <w:tab w:val="right" w:pos="8306"/>
      </w:tabs>
      <w:snapToGrid w:val="0"/>
      <w:jc w:val="left"/>
    </w:pPr>
    <w:rPr>
      <w:sz w:val="18"/>
      <w:szCs w:val="18"/>
    </w:rPr>
  </w:style>
  <w:style w:type="character" w:customStyle="1" w:styleId="a8">
    <w:name w:val="页脚 字符"/>
    <w:basedOn w:val="a0"/>
    <w:link w:val="a7"/>
    <w:uiPriority w:val="99"/>
    <w:rsid w:val="00106057"/>
    <w:rPr>
      <w:sz w:val="18"/>
      <w:szCs w:val="18"/>
    </w:rPr>
  </w:style>
  <w:style w:type="paragraph" w:styleId="a9">
    <w:name w:val="List Paragraph"/>
    <w:basedOn w:val="a"/>
    <w:uiPriority w:val="34"/>
    <w:qFormat/>
    <w:rsid w:val="00106057"/>
    <w:pPr>
      <w:ind w:firstLineChars="200" w:firstLine="420"/>
    </w:pPr>
  </w:style>
  <w:style w:type="table" w:styleId="aa">
    <w:name w:val="Table Grid"/>
    <w:basedOn w:val="a1"/>
    <w:uiPriority w:val="59"/>
    <w:rsid w:val="00064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31036"/>
    <w:rPr>
      <w:sz w:val="21"/>
      <w:szCs w:val="21"/>
    </w:rPr>
  </w:style>
  <w:style w:type="paragraph" w:styleId="ac">
    <w:name w:val="annotation text"/>
    <w:basedOn w:val="a"/>
    <w:link w:val="ad"/>
    <w:uiPriority w:val="99"/>
    <w:semiHidden/>
    <w:unhideWhenUsed/>
    <w:rsid w:val="00931036"/>
    <w:pPr>
      <w:jc w:val="left"/>
    </w:pPr>
  </w:style>
  <w:style w:type="character" w:customStyle="1" w:styleId="ad">
    <w:name w:val="批注文字 字符"/>
    <w:basedOn w:val="a0"/>
    <w:link w:val="ac"/>
    <w:uiPriority w:val="99"/>
    <w:semiHidden/>
    <w:rsid w:val="00931036"/>
  </w:style>
  <w:style w:type="character" w:customStyle="1" w:styleId="20">
    <w:name w:val="标题 2 字符"/>
    <w:basedOn w:val="a0"/>
    <w:link w:val="2"/>
    <w:rsid w:val="00931036"/>
    <w:rPr>
      <w:rFonts w:ascii="宋体" w:eastAsia="宋体" w:hAnsi="宋体" w:cs="Times New Roman"/>
      <w:b/>
      <w:bCs/>
      <w:sz w:val="18"/>
      <w:szCs w:val="18"/>
      <w:lang w:val="x-none" w:eastAsia="x-none"/>
    </w:rPr>
  </w:style>
  <w:style w:type="paragraph" w:styleId="ae">
    <w:name w:val="Balloon Text"/>
    <w:basedOn w:val="a"/>
    <w:link w:val="af"/>
    <w:uiPriority w:val="99"/>
    <w:semiHidden/>
    <w:unhideWhenUsed/>
    <w:rsid w:val="001E1DC6"/>
    <w:rPr>
      <w:sz w:val="18"/>
      <w:szCs w:val="18"/>
    </w:rPr>
  </w:style>
  <w:style w:type="character" w:customStyle="1" w:styleId="af">
    <w:name w:val="批注框文本 字符"/>
    <w:basedOn w:val="a0"/>
    <w:link w:val="ae"/>
    <w:uiPriority w:val="99"/>
    <w:semiHidden/>
    <w:rsid w:val="001E1DC6"/>
    <w:rPr>
      <w:sz w:val="18"/>
      <w:szCs w:val="18"/>
    </w:rPr>
  </w:style>
  <w:style w:type="paragraph" w:styleId="af0">
    <w:name w:val="Title"/>
    <w:basedOn w:val="a"/>
    <w:next w:val="a"/>
    <w:link w:val="af1"/>
    <w:qFormat/>
    <w:rsid w:val="007B29B9"/>
    <w:pPr>
      <w:widowControl/>
      <w:spacing w:before="240" w:after="60"/>
      <w:jc w:val="center"/>
      <w:outlineLvl w:val="0"/>
    </w:pPr>
    <w:rPr>
      <w:rFonts w:ascii="Cambria" w:eastAsia="楷体" w:hAnsi="Cambria" w:cs="Times New Roman"/>
      <w:b/>
      <w:bCs/>
      <w:sz w:val="52"/>
      <w:szCs w:val="32"/>
      <w:lang w:val="x-none" w:eastAsia="x-none"/>
    </w:rPr>
  </w:style>
  <w:style w:type="character" w:customStyle="1" w:styleId="af1">
    <w:name w:val="标题 字符"/>
    <w:basedOn w:val="a0"/>
    <w:link w:val="af0"/>
    <w:rsid w:val="007B29B9"/>
    <w:rPr>
      <w:rFonts w:ascii="Cambria" w:eastAsia="楷体" w:hAnsi="Cambria" w:cs="Times New Roman"/>
      <w:b/>
      <w:bCs/>
      <w:sz w:val="52"/>
      <w:szCs w:val="32"/>
      <w:lang w:val="x-none" w:eastAsia="x-none"/>
    </w:rPr>
  </w:style>
  <w:style w:type="character" w:customStyle="1" w:styleId="30">
    <w:name w:val="标题 3 字符"/>
    <w:basedOn w:val="a0"/>
    <w:link w:val="3"/>
    <w:uiPriority w:val="9"/>
    <w:rsid w:val="007B29B9"/>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3431">
      <w:bodyDiv w:val="1"/>
      <w:marLeft w:val="0"/>
      <w:marRight w:val="0"/>
      <w:marTop w:val="0"/>
      <w:marBottom w:val="0"/>
      <w:divBdr>
        <w:top w:val="none" w:sz="0" w:space="0" w:color="auto"/>
        <w:left w:val="none" w:sz="0" w:space="0" w:color="auto"/>
        <w:bottom w:val="none" w:sz="0" w:space="0" w:color="auto"/>
        <w:right w:val="none" w:sz="0" w:space="0" w:color="auto"/>
      </w:divBdr>
    </w:div>
    <w:div w:id="98841947">
      <w:bodyDiv w:val="1"/>
      <w:marLeft w:val="0"/>
      <w:marRight w:val="0"/>
      <w:marTop w:val="0"/>
      <w:marBottom w:val="0"/>
      <w:divBdr>
        <w:top w:val="none" w:sz="0" w:space="0" w:color="auto"/>
        <w:left w:val="none" w:sz="0" w:space="0" w:color="auto"/>
        <w:bottom w:val="none" w:sz="0" w:space="0" w:color="auto"/>
        <w:right w:val="none" w:sz="0" w:space="0" w:color="auto"/>
      </w:divBdr>
      <w:divsChild>
        <w:div w:id="1580405655">
          <w:marLeft w:val="1440"/>
          <w:marRight w:val="0"/>
          <w:marTop w:val="0"/>
          <w:marBottom w:val="0"/>
          <w:divBdr>
            <w:top w:val="none" w:sz="0" w:space="0" w:color="auto"/>
            <w:left w:val="none" w:sz="0" w:space="0" w:color="auto"/>
            <w:bottom w:val="none" w:sz="0" w:space="0" w:color="auto"/>
            <w:right w:val="none" w:sz="0" w:space="0" w:color="auto"/>
          </w:divBdr>
        </w:div>
      </w:divsChild>
    </w:div>
    <w:div w:id="225921042">
      <w:bodyDiv w:val="1"/>
      <w:marLeft w:val="0"/>
      <w:marRight w:val="0"/>
      <w:marTop w:val="0"/>
      <w:marBottom w:val="0"/>
      <w:divBdr>
        <w:top w:val="none" w:sz="0" w:space="0" w:color="auto"/>
        <w:left w:val="none" w:sz="0" w:space="0" w:color="auto"/>
        <w:bottom w:val="none" w:sz="0" w:space="0" w:color="auto"/>
        <w:right w:val="none" w:sz="0" w:space="0" w:color="auto"/>
      </w:divBdr>
      <w:divsChild>
        <w:div w:id="666178175">
          <w:marLeft w:val="720"/>
          <w:marRight w:val="0"/>
          <w:marTop w:val="0"/>
          <w:marBottom w:val="0"/>
          <w:divBdr>
            <w:top w:val="none" w:sz="0" w:space="0" w:color="auto"/>
            <w:left w:val="none" w:sz="0" w:space="0" w:color="auto"/>
            <w:bottom w:val="none" w:sz="0" w:space="0" w:color="auto"/>
            <w:right w:val="none" w:sz="0" w:space="0" w:color="auto"/>
          </w:divBdr>
        </w:div>
      </w:divsChild>
    </w:div>
    <w:div w:id="359596328">
      <w:bodyDiv w:val="1"/>
      <w:marLeft w:val="0"/>
      <w:marRight w:val="0"/>
      <w:marTop w:val="0"/>
      <w:marBottom w:val="0"/>
      <w:divBdr>
        <w:top w:val="none" w:sz="0" w:space="0" w:color="auto"/>
        <w:left w:val="none" w:sz="0" w:space="0" w:color="auto"/>
        <w:bottom w:val="none" w:sz="0" w:space="0" w:color="auto"/>
        <w:right w:val="none" w:sz="0" w:space="0" w:color="auto"/>
      </w:divBdr>
    </w:div>
    <w:div w:id="653877111">
      <w:bodyDiv w:val="1"/>
      <w:marLeft w:val="0"/>
      <w:marRight w:val="0"/>
      <w:marTop w:val="0"/>
      <w:marBottom w:val="0"/>
      <w:divBdr>
        <w:top w:val="none" w:sz="0" w:space="0" w:color="auto"/>
        <w:left w:val="none" w:sz="0" w:space="0" w:color="auto"/>
        <w:bottom w:val="none" w:sz="0" w:space="0" w:color="auto"/>
        <w:right w:val="none" w:sz="0" w:space="0" w:color="auto"/>
      </w:divBdr>
    </w:div>
    <w:div w:id="832843157">
      <w:bodyDiv w:val="1"/>
      <w:marLeft w:val="0"/>
      <w:marRight w:val="0"/>
      <w:marTop w:val="0"/>
      <w:marBottom w:val="0"/>
      <w:divBdr>
        <w:top w:val="none" w:sz="0" w:space="0" w:color="auto"/>
        <w:left w:val="none" w:sz="0" w:space="0" w:color="auto"/>
        <w:bottom w:val="none" w:sz="0" w:space="0" w:color="auto"/>
        <w:right w:val="none" w:sz="0" w:space="0" w:color="auto"/>
      </w:divBdr>
      <w:divsChild>
        <w:div w:id="163017097">
          <w:marLeft w:val="720"/>
          <w:marRight w:val="0"/>
          <w:marTop w:val="0"/>
          <w:marBottom w:val="0"/>
          <w:divBdr>
            <w:top w:val="none" w:sz="0" w:space="0" w:color="auto"/>
            <w:left w:val="none" w:sz="0" w:space="0" w:color="auto"/>
            <w:bottom w:val="none" w:sz="0" w:space="0" w:color="auto"/>
            <w:right w:val="none" w:sz="0" w:space="0" w:color="auto"/>
          </w:divBdr>
        </w:div>
      </w:divsChild>
    </w:div>
    <w:div w:id="851916579">
      <w:bodyDiv w:val="1"/>
      <w:marLeft w:val="0"/>
      <w:marRight w:val="0"/>
      <w:marTop w:val="0"/>
      <w:marBottom w:val="0"/>
      <w:divBdr>
        <w:top w:val="none" w:sz="0" w:space="0" w:color="auto"/>
        <w:left w:val="none" w:sz="0" w:space="0" w:color="auto"/>
        <w:bottom w:val="none" w:sz="0" w:space="0" w:color="auto"/>
        <w:right w:val="none" w:sz="0" w:space="0" w:color="auto"/>
      </w:divBdr>
      <w:divsChild>
        <w:div w:id="1442340088">
          <w:marLeft w:val="1440"/>
          <w:marRight w:val="0"/>
          <w:marTop w:val="0"/>
          <w:marBottom w:val="0"/>
          <w:divBdr>
            <w:top w:val="none" w:sz="0" w:space="0" w:color="auto"/>
            <w:left w:val="none" w:sz="0" w:space="0" w:color="auto"/>
            <w:bottom w:val="none" w:sz="0" w:space="0" w:color="auto"/>
            <w:right w:val="none" w:sz="0" w:space="0" w:color="auto"/>
          </w:divBdr>
        </w:div>
        <w:div w:id="1333948501">
          <w:marLeft w:val="1440"/>
          <w:marRight w:val="0"/>
          <w:marTop w:val="0"/>
          <w:marBottom w:val="0"/>
          <w:divBdr>
            <w:top w:val="none" w:sz="0" w:space="0" w:color="auto"/>
            <w:left w:val="none" w:sz="0" w:space="0" w:color="auto"/>
            <w:bottom w:val="none" w:sz="0" w:space="0" w:color="auto"/>
            <w:right w:val="none" w:sz="0" w:space="0" w:color="auto"/>
          </w:divBdr>
        </w:div>
        <w:div w:id="1861696116">
          <w:marLeft w:val="1440"/>
          <w:marRight w:val="0"/>
          <w:marTop w:val="0"/>
          <w:marBottom w:val="0"/>
          <w:divBdr>
            <w:top w:val="none" w:sz="0" w:space="0" w:color="auto"/>
            <w:left w:val="none" w:sz="0" w:space="0" w:color="auto"/>
            <w:bottom w:val="none" w:sz="0" w:space="0" w:color="auto"/>
            <w:right w:val="none" w:sz="0" w:space="0" w:color="auto"/>
          </w:divBdr>
        </w:div>
        <w:div w:id="1626622437">
          <w:marLeft w:val="1440"/>
          <w:marRight w:val="0"/>
          <w:marTop w:val="0"/>
          <w:marBottom w:val="0"/>
          <w:divBdr>
            <w:top w:val="none" w:sz="0" w:space="0" w:color="auto"/>
            <w:left w:val="none" w:sz="0" w:space="0" w:color="auto"/>
            <w:bottom w:val="none" w:sz="0" w:space="0" w:color="auto"/>
            <w:right w:val="none" w:sz="0" w:space="0" w:color="auto"/>
          </w:divBdr>
        </w:div>
        <w:div w:id="473067165">
          <w:marLeft w:val="1440"/>
          <w:marRight w:val="0"/>
          <w:marTop w:val="0"/>
          <w:marBottom w:val="0"/>
          <w:divBdr>
            <w:top w:val="none" w:sz="0" w:space="0" w:color="auto"/>
            <w:left w:val="none" w:sz="0" w:space="0" w:color="auto"/>
            <w:bottom w:val="none" w:sz="0" w:space="0" w:color="auto"/>
            <w:right w:val="none" w:sz="0" w:space="0" w:color="auto"/>
          </w:divBdr>
        </w:div>
        <w:div w:id="24140034">
          <w:marLeft w:val="1440"/>
          <w:marRight w:val="0"/>
          <w:marTop w:val="0"/>
          <w:marBottom w:val="0"/>
          <w:divBdr>
            <w:top w:val="none" w:sz="0" w:space="0" w:color="auto"/>
            <w:left w:val="none" w:sz="0" w:space="0" w:color="auto"/>
            <w:bottom w:val="none" w:sz="0" w:space="0" w:color="auto"/>
            <w:right w:val="none" w:sz="0" w:space="0" w:color="auto"/>
          </w:divBdr>
        </w:div>
      </w:divsChild>
    </w:div>
    <w:div w:id="1678386673">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sChild>
        <w:div w:id="20557396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FC3E8-4529-4184-ADAA-CCEFC6ECF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1495</Characters>
  <Application>Microsoft Office Word</Application>
  <DocSecurity>0</DocSecurity>
  <Lines>12</Lines>
  <Paragraphs>3</Paragraphs>
  <ScaleCrop>false</ScaleCrop>
  <Company>Lenovo</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sjc</dc:creator>
  <cp:lastModifiedBy>李婉璐</cp:lastModifiedBy>
  <cp:revision>3</cp:revision>
  <dcterms:created xsi:type="dcterms:W3CDTF">2017-09-21T11:45:00Z</dcterms:created>
  <dcterms:modified xsi:type="dcterms:W3CDTF">2017-09-21T11:46:00Z</dcterms:modified>
</cp:coreProperties>
</file>