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宁夏医科大学2020年5月师生理论学习安排表</w:t>
      </w:r>
    </w:p>
    <w:tbl>
      <w:tblPr>
        <w:tblStyle w:val="9"/>
        <w:tblW w:w="15081" w:type="dxa"/>
        <w:tblInd w:w="-51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1284"/>
        <w:gridCol w:w="1590"/>
        <w:gridCol w:w="1185"/>
        <w:gridCol w:w="102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3" w:hRule="atLeast"/>
        </w:trPr>
        <w:tc>
          <w:tcPr>
            <w:tcW w:w="11284"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学习内容</w:t>
            </w:r>
          </w:p>
        </w:tc>
        <w:tc>
          <w:tcPr>
            <w:tcW w:w="1590"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学习方式</w:t>
            </w:r>
          </w:p>
        </w:tc>
        <w:tc>
          <w:tcPr>
            <w:tcW w:w="1185"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组织人</w:t>
            </w:r>
          </w:p>
        </w:tc>
        <w:tc>
          <w:tcPr>
            <w:tcW w:w="1022" w:type="dxa"/>
            <w:vAlign w:val="center"/>
          </w:tcPr>
          <w:p>
            <w:pPr>
              <w:spacing w:after="0" w:line="3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4"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1.4月23日，</w:t>
            </w:r>
            <w:r>
              <w:rPr>
                <w:rFonts w:ascii="仿宋" w:hAnsi="仿宋" w:eastAsia="仿宋"/>
                <w:sz w:val="30"/>
                <w:szCs w:val="30"/>
              </w:rPr>
              <w:t>习近平在陕西考察时强调 扎实做好“六稳”工作落实“六保”任务 奋力谱写陕西新时代追赶超越新篇章</w:t>
            </w:r>
            <w:r>
              <w:rPr>
                <w:rFonts w:hint="eastAsia" w:ascii="仿宋" w:hAnsi="仿宋" w:eastAsia="仿宋"/>
                <w:sz w:val="30"/>
                <w:szCs w:val="30"/>
              </w:rPr>
              <w:t>（“学习强国”学习平台）</w:t>
            </w:r>
          </w:p>
        </w:tc>
        <w:tc>
          <w:tcPr>
            <w:tcW w:w="1590" w:type="dxa"/>
            <w:vMerge w:val="restart"/>
          </w:tcPr>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自主</w:t>
            </w:r>
          </w:p>
          <w:p>
            <w:pPr>
              <w:spacing w:after="0" w:line="32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学习</w:t>
            </w:r>
          </w:p>
          <w:p>
            <w:pPr>
              <w:spacing w:line="320" w:lineRule="exact"/>
              <w:jc w:val="center"/>
              <w:rPr>
                <w:rFonts w:ascii="仿宋" w:hAnsi="仿宋" w:eastAsia="仿宋" w:cs="宋体"/>
                <w:color w:val="000000"/>
                <w:sz w:val="30"/>
                <w:szCs w:val="30"/>
              </w:rPr>
            </w:pPr>
          </w:p>
        </w:tc>
        <w:tc>
          <w:tcPr>
            <w:tcW w:w="1185" w:type="dxa"/>
            <w:vMerge w:val="restart"/>
          </w:tcPr>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p>
          <w:p>
            <w:pPr>
              <w:spacing w:after="0" w:line="320" w:lineRule="exact"/>
              <w:jc w:val="both"/>
              <w:rPr>
                <w:rFonts w:ascii="仿宋" w:hAnsi="仿宋" w:eastAsia="仿宋" w:cs="宋体"/>
                <w:color w:val="000000"/>
                <w:sz w:val="30"/>
                <w:szCs w:val="30"/>
              </w:rPr>
            </w:pPr>
          </w:p>
          <w:p>
            <w:pPr>
              <w:spacing w:after="0" w:line="320" w:lineRule="exact"/>
              <w:jc w:val="center"/>
              <w:rPr>
                <w:rFonts w:ascii="仿宋" w:hAnsi="仿宋" w:eastAsia="仿宋" w:cs="宋体"/>
                <w:color w:val="000000"/>
                <w:sz w:val="30"/>
                <w:szCs w:val="30"/>
              </w:rPr>
            </w:pPr>
            <w:r>
              <w:rPr>
                <w:rFonts w:hint="eastAsia" w:ascii="仿宋" w:hAnsi="仿宋" w:eastAsia="仿宋" w:cs="宋体"/>
                <w:color w:val="000000"/>
                <w:sz w:val="30"/>
                <w:szCs w:val="30"/>
              </w:rPr>
              <w:t>党支部书记、理论学习小组组长</w:t>
            </w:r>
          </w:p>
          <w:p>
            <w:pPr>
              <w:rPr>
                <w:rFonts w:ascii="仿宋" w:hAnsi="仿宋" w:eastAsia="仿宋" w:cs="宋体"/>
                <w:color w:val="000000"/>
                <w:sz w:val="30"/>
                <w:szCs w:val="30"/>
              </w:rPr>
            </w:pPr>
          </w:p>
        </w:tc>
        <w:tc>
          <w:tcPr>
            <w:tcW w:w="1022" w:type="dxa"/>
            <w:vMerge w:val="restart"/>
          </w:tcPr>
          <w:p>
            <w:pPr>
              <w:spacing w:after="0" w:line="320" w:lineRule="exact"/>
              <w:jc w:val="center"/>
              <w:rPr>
                <w:rFonts w:ascii="仿宋" w:hAnsi="仿宋" w:eastAsia="仿宋" w:cs="宋体"/>
                <w:color w:val="000000"/>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3"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2.4</w:t>
            </w:r>
            <w:r>
              <w:rPr>
                <w:rFonts w:ascii="仿宋" w:hAnsi="仿宋" w:eastAsia="仿宋"/>
                <w:sz w:val="30"/>
                <w:szCs w:val="30"/>
              </w:rPr>
              <w:t>月</w:t>
            </w:r>
            <w:r>
              <w:rPr>
                <w:rFonts w:hint="eastAsia" w:ascii="仿宋" w:hAnsi="仿宋" w:eastAsia="仿宋"/>
                <w:sz w:val="30"/>
                <w:szCs w:val="30"/>
              </w:rPr>
              <w:t>29</w:t>
            </w:r>
            <w:r>
              <w:rPr>
                <w:rFonts w:ascii="仿宋" w:hAnsi="仿宋" w:eastAsia="仿宋"/>
                <w:sz w:val="30"/>
                <w:szCs w:val="30"/>
              </w:rPr>
              <w:t>日</w:t>
            </w:r>
            <w:r>
              <w:rPr>
                <w:rFonts w:hint="eastAsia" w:ascii="仿宋" w:hAnsi="仿宋" w:eastAsia="仿宋"/>
                <w:sz w:val="30"/>
                <w:szCs w:val="30"/>
              </w:rPr>
              <w:t>，</w:t>
            </w:r>
            <w:r>
              <w:rPr>
                <w:rFonts w:ascii="仿宋" w:hAnsi="仿宋" w:eastAsia="仿宋"/>
                <w:sz w:val="30"/>
                <w:szCs w:val="30"/>
              </w:rPr>
              <w:t>中共中央政治局常务委员会召开会议分析国内外新冠肺炎疫情防控形势</w:t>
            </w:r>
            <w:r>
              <w:rPr>
                <w:rFonts w:hint="eastAsia" w:ascii="仿宋" w:hAnsi="仿宋" w:eastAsia="仿宋"/>
                <w:sz w:val="30"/>
                <w:szCs w:val="30"/>
              </w:rPr>
              <w:t xml:space="preserve">  </w:t>
            </w:r>
            <w:r>
              <w:rPr>
                <w:rFonts w:ascii="仿宋" w:hAnsi="仿宋" w:eastAsia="仿宋"/>
                <w:sz w:val="30"/>
                <w:szCs w:val="30"/>
              </w:rPr>
              <w:t>研究部署完善常态化疫情防控举措</w:t>
            </w:r>
            <w:r>
              <w:rPr>
                <w:rFonts w:hint="eastAsia" w:ascii="仿宋" w:hAnsi="仿宋" w:eastAsia="仿宋"/>
                <w:sz w:val="30"/>
                <w:szCs w:val="30"/>
              </w:rPr>
              <w:t>（“学习强国”学习平台）</w:t>
            </w:r>
          </w:p>
        </w:tc>
        <w:tc>
          <w:tcPr>
            <w:tcW w:w="1590" w:type="dxa"/>
            <w:vMerge w:val="continue"/>
          </w:tcPr>
          <w:p>
            <w:pPr>
              <w:spacing w:line="320" w:lineRule="exact"/>
              <w:jc w:val="center"/>
              <w:rPr>
                <w:rFonts w:ascii="仿宋" w:hAnsi="仿宋" w:eastAsia="仿宋" w:cs="宋体"/>
                <w:color w:val="000000"/>
                <w:sz w:val="30"/>
                <w:szCs w:val="30"/>
              </w:rPr>
            </w:pPr>
          </w:p>
        </w:tc>
        <w:tc>
          <w:tcPr>
            <w:tcW w:w="1185" w:type="dxa"/>
            <w:vMerge w:val="continue"/>
          </w:tcPr>
          <w:p>
            <w:pPr>
              <w:rPr>
                <w:rFonts w:ascii="仿宋" w:hAnsi="仿宋" w:eastAsia="仿宋" w:cs="宋体"/>
                <w:color w:val="000000"/>
                <w:sz w:val="30"/>
                <w:szCs w:val="30"/>
              </w:rPr>
            </w:pPr>
          </w:p>
        </w:tc>
        <w:tc>
          <w:tcPr>
            <w:tcW w:w="1022" w:type="dxa"/>
            <w:vMerge w:val="continue"/>
          </w:tcPr>
          <w:p>
            <w:pPr>
              <w:spacing w:after="0" w:line="320" w:lineRule="exact"/>
              <w:jc w:val="center"/>
              <w:rPr>
                <w:rFonts w:ascii="仿宋" w:hAnsi="仿宋" w:eastAsia="仿宋" w:cs="宋体"/>
                <w:color w:val="000000"/>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93"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3.在化危为机中赢得发展主动权 (《人民日报 》 作者：严书翰， 2020年04月16日 09版）</w:t>
            </w:r>
          </w:p>
        </w:tc>
        <w:tc>
          <w:tcPr>
            <w:tcW w:w="1590" w:type="dxa"/>
            <w:vMerge w:val="continue"/>
          </w:tcPr>
          <w:p>
            <w:pPr>
              <w:spacing w:line="320" w:lineRule="exact"/>
              <w:jc w:val="center"/>
              <w:rPr>
                <w:rFonts w:ascii="仿宋" w:hAnsi="仿宋" w:eastAsia="仿宋" w:cs="宋体"/>
                <w:color w:val="000000"/>
                <w:sz w:val="30"/>
                <w:szCs w:val="30"/>
              </w:rPr>
            </w:pPr>
          </w:p>
        </w:tc>
        <w:tc>
          <w:tcPr>
            <w:tcW w:w="1185" w:type="dxa"/>
            <w:vMerge w:val="continue"/>
          </w:tcPr>
          <w:p>
            <w:pPr>
              <w:rPr>
                <w:rFonts w:ascii="仿宋" w:hAnsi="仿宋" w:eastAsia="仿宋" w:cs="宋体"/>
                <w:color w:val="000000"/>
                <w:sz w:val="30"/>
                <w:szCs w:val="30"/>
              </w:rPr>
            </w:pPr>
          </w:p>
        </w:tc>
        <w:tc>
          <w:tcPr>
            <w:tcW w:w="1022" w:type="dxa"/>
            <w:vMerge w:val="continue"/>
          </w:tcPr>
          <w:p>
            <w:pPr>
              <w:spacing w:after="0" w:line="320" w:lineRule="exact"/>
              <w:jc w:val="center"/>
              <w:rPr>
                <w:rFonts w:ascii="仿宋" w:hAnsi="仿宋" w:eastAsia="仿宋" w:cs="宋体"/>
                <w:color w:val="000000"/>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45"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4. 4</w:t>
            </w:r>
            <w:r>
              <w:rPr>
                <w:rFonts w:ascii="仿宋" w:hAnsi="仿宋" w:eastAsia="仿宋"/>
                <w:sz w:val="30"/>
                <w:szCs w:val="30"/>
              </w:rPr>
              <w:t>月</w:t>
            </w:r>
            <w:r>
              <w:rPr>
                <w:rFonts w:hint="eastAsia" w:ascii="仿宋" w:hAnsi="仿宋" w:eastAsia="仿宋"/>
                <w:sz w:val="30"/>
                <w:szCs w:val="30"/>
              </w:rPr>
              <w:t>30</w:t>
            </w:r>
            <w:r>
              <w:rPr>
                <w:rFonts w:ascii="仿宋" w:hAnsi="仿宋" w:eastAsia="仿宋"/>
                <w:sz w:val="30"/>
                <w:szCs w:val="30"/>
              </w:rPr>
              <w:t>日</w:t>
            </w:r>
            <w:r>
              <w:rPr>
                <w:rFonts w:hint="eastAsia" w:ascii="仿宋" w:hAnsi="仿宋" w:eastAsia="仿宋"/>
                <w:sz w:val="30"/>
                <w:szCs w:val="30"/>
              </w:rPr>
              <w:t>，习近平：在打好精准脱贫攻坚战座谈会上的讲话，</w:t>
            </w:r>
            <w:r>
              <w:rPr>
                <w:rFonts w:ascii="仿宋" w:hAnsi="仿宋" w:eastAsia="仿宋"/>
                <w:sz w:val="30"/>
                <w:szCs w:val="30"/>
              </w:rPr>
              <w:t>《求是》2020年第9期</w:t>
            </w:r>
            <w:r>
              <w:rPr>
                <w:rFonts w:hint="eastAsia" w:ascii="仿宋" w:hAnsi="仿宋" w:eastAsia="仿宋"/>
                <w:sz w:val="30"/>
                <w:szCs w:val="30"/>
              </w:rPr>
              <w:t>(“学习强国”学习平台）</w:t>
            </w:r>
          </w:p>
        </w:tc>
        <w:tc>
          <w:tcPr>
            <w:tcW w:w="1590" w:type="dxa"/>
            <w:vMerge w:val="continue"/>
          </w:tcPr>
          <w:p>
            <w:pPr>
              <w:spacing w:line="320" w:lineRule="exact"/>
              <w:jc w:val="center"/>
              <w:rPr>
                <w:rFonts w:ascii="仿宋" w:hAnsi="仿宋" w:eastAsia="仿宋" w:cs="宋体"/>
                <w:color w:val="000000"/>
                <w:sz w:val="30"/>
                <w:szCs w:val="30"/>
              </w:rPr>
            </w:pPr>
          </w:p>
        </w:tc>
        <w:tc>
          <w:tcPr>
            <w:tcW w:w="1185" w:type="dxa"/>
            <w:vMerge w:val="continue"/>
          </w:tcPr>
          <w:p>
            <w:pPr>
              <w:rPr>
                <w:rFonts w:ascii="仿宋" w:hAnsi="仿宋" w:eastAsia="仿宋" w:cs="宋体"/>
                <w:color w:val="000000"/>
                <w:sz w:val="30"/>
                <w:szCs w:val="30"/>
              </w:rPr>
            </w:pPr>
          </w:p>
        </w:tc>
        <w:tc>
          <w:tcPr>
            <w:tcW w:w="1022" w:type="dxa"/>
            <w:vMerge w:val="continue"/>
          </w:tcPr>
          <w:p>
            <w:pPr>
              <w:spacing w:after="0" w:line="320" w:lineRule="exact"/>
              <w:jc w:val="center"/>
              <w:rPr>
                <w:rFonts w:ascii="仿宋" w:hAnsi="仿宋" w:eastAsia="仿宋" w:cs="宋体"/>
                <w:color w:val="000000"/>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9"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5.5月1日，习近平与劳动人民在一起（“学习强国”学习平台）</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6. 5月4日，习近平的青春故事（“学习强国”学习平台）</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spacing w:after="0" w:line="320" w:lineRule="exact"/>
              <w:jc w:val="cente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7.中共中央办公厅 国务院办公厅印发《关于加快推进公共法律服务体系建设的意见》（2019年7月10日，来源：新华社）</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spacing w:after="0" w:line="320" w:lineRule="exact"/>
              <w:jc w:val="cente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4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8.教育部：推动构建现代化强国建设需要的教育体系（“学习强国”学习平台）</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spacing w:after="0" w:line="320" w:lineRule="exact"/>
              <w:jc w:val="cente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4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9.钟南山等防控专家“支招”复课复学（“学习强国”学习平台）</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spacing w:after="0" w:line="320" w:lineRule="exact"/>
              <w:jc w:val="cente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10.《新型冠状病毒肺炎防治培训课程》（“学习强国”学习平台）</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spacing w:after="0" w:line="320" w:lineRule="exact"/>
              <w:jc w:val="cente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11.宁夏党委召开决胜全面建成小康社会工作会议（“学习强国”宁夏学习平台）</w:t>
            </w:r>
          </w:p>
        </w:tc>
        <w:tc>
          <w:tcPr>
            <w:tcW w:w="1590" w:type="dxa"/>
            <w:vMerge w:val="continue"/>
          </w:tcPr>
          <w:p>
            <w:pPr>
              <w:spacing w:after="0" w:line="320" w:lineRule="exact"/>
              <w:jc w:val="center"/>
              <w:rPr>
                <w:rFonts w:ascii="仿宋" w:hAnsi="仿宋" w:eastAsia="仿宋"/>
                <w:sz w:val="30"/>
                <w:szCs w:val="30"/>
              </w:rPr>
            </w:pPr>
          </w:p>
        </w:tc>
        <w:tc>
          <w:tcPr>
            <w:tcW w:w="1185" w:type="dxa"/>
            <w:vMerge w:val="continue"/>
          </w:tcPr>
          <w:p>
            <w:pPr>
              <w:spacing w:after="0" w:line="320" w:lineRule="exact"/>
              <w:jc w:val="center"/>
              <w:rPr>
                <w:sz w:val="30"/>
                <w:szCs w:val="30"/>
              </w:rPr>
            </w:pPr>
          </w:p>
        </w:tc>
        <w:tc>
          <w:tcPr>
            <w:tcW w:w="1022" w:type="dxa"/>
            <w:vMerge w:val="continue"/>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6" w:hRule="atLeast"/>
        </w:trPr>
        <w:tc>
          <w:tcPr>
            <w:tcW w:w="11284" w:type="dxa"/>
            <w:vAlign w:val="center"/>
          </w:tcPr>
          <w:p>
            <w:pPr>
              <w:spacing w:after="0" w:line="320" w:lineRule="exact"/>
              <w:rPr>
                <w:rFonts w:ascii="仿宋" w:hAnsi="仿宋" w:eastAsia="仿宋"/>
                <w:sz w:val="30"/>
                <w:szCs w:val="30"/>
              </w:rPr>
            </w:pPr>
            <w:r>
              <w:rPr>
                <w:rFonts w:hint="eastAsia" w:ascii="仿宋" w:hAnsi="仿宋" w:eastAsia="仿宋"/>
                <w:sz w:val="30"/>
                <w:szCs w:val="30"/>
              </w:rPr>
              <w:t>12.《宁夏医科大学新型冠状病毒肺炎防控指南》（电子版学校已发全校师生）</w:t>
            </w:r>
          </w:p>
        </w:tc>
        <w:tc>
          <w:tcPr>
            <w:tcW w:w="1590" w:type="dxa"/>
          </w:tcPr>
          <w:p>
            <w:pPr>
              <w:spacing w:after="0" w:line="320" w:lineRule="exact"/>
              <w:jc w:val="center"/>
              <w:rPr>
                <w:rFonts w:ascii="仿宋" w:hAnsi="仿宋" w:eastAsia="仿宋"/>
                <w:sz w:val="30"/>
                <w:szCs w:val="30"/>
              </w:rPr>
            </w:pPr>
          </w:p>
        </w:tc>
        <w:tc>
          <w:tcPr>
            <w:tcW w:w="1185" w:type="dxa"/>
          </w:tcPr>
          <w:p>
            <w:pPr>
              <w:spacing w:after="0" w:line="320" w:lineRule="exact"/>
              <w:jc w:val="center"/>
              <w:rPr>
                <w:sz w:val="30"/>
                <w:szCs w:val="30"/>
              </w:rPr>
            </w:pPr>
          </w:p>
        </w:tc>
        <w:tc>
          <w:tcPr>
            <w:tcW w:w="1022" w:type="dxa"/>
          </w:tcPr>
          <w:p>
            <w:pPr>
              <w:spacing w:after="0" w:line="320" w:lineRule="exact"/>
              <w:jc w:val="center"/>
              <w:rPr>
                <w:sz w:val="30"/>
                <w:szCs w:val="3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7" w:hRule="atLeast"/>
        </w:trPr>
        <w:tc>
          <w:tcPr>
            <w:tcW w:w="15081" w:type="dxa"/>
            <w:gridSpan w:val="4"/>
            <w:vAlign w:val="bottom"/>
          </w:tcPr>
          <w:p>
            <w:pPr>
              <w:spacing w:after="0" w:line="320" w:lineRule="exact"/>
              <w:jc w:val="both"/>
              <w:rPr>
                <w:rFonts w:ascii="仿宋" w:hAnsi="仿宋" w:eastAsia="仿宋"/>
                <w:sz w:val="30"/>
                <w:szCs w:val="30"/>
              </w:rPr>
            </w:pPr>
            <w:r>
              <w:rPr>
                <w:rFonts w:hint="eastAsia" w:ascii="仿宋" w:hAnsi="仿宋" w:eastAsia="仿宋"/>
                <w:sz w:val="30"/>
                <w:szCs w:val="30"/>
              </w:rPr>
              <w:t>要求：请各党支部书记、委员、学习小组组长督促师生完成好自学。</w:t>
            </w:r>
          </w:p>
        </w:tc>
      </w:tr>
    </w:tbl>
    <w:p>
      <w:pPr>
        <w:spacing w:after="0" w:line="320" w:lineRule="exact"/>
        <w:ind w:right="1280"/>
        <w:jc w:val="right"/>
        <w:rPr>
          <w:rFonts w:ascii="仿宋" w:hAnsi="仿宋" w:eastAsia="仿宋"/>
          <w:sz w:val="32"/>
          <w:szCs w:val="32"/>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w:t>
      </w:r>
      <w:r>
        <w:rPr>
          <w:rFonts w:hint="eastAsia" w:ascii="仿宋" w:hAnsi="仿宋" w:eastAsia="仿宋"/>
          <w:sz w:val="32"/>
          <w:szCs w:val="32"/>
        </w:rPr>
        <w:t>党委宣传部</w:t>
      </w:r>
    </w:p>
    <w:p>
      <w:pPr>
        <w:spacing w:after="0" w:line="320" w:lineRule="exact"/>
        <w:ind w:right="640"/>
        <w:jc w:val="right"/>
        <w:rPr>
          <w:rFonts w:ascii="仿宋" w:hAnsi="仿宋" w:eastAsia="仿宋"/>
          <w:sz w:val="32"/>
          <w:szCs w:val="32"/>
        </w:rPr>
      </w:pPr>
      <w:r>
        <w:rPr>
          <w:rFonts w:hint="eastAsia" w:ascii="仿宋" w:hAnsi="仿宋" w:eastAsia="仿宋"/>
          <w:sz w:val="32"/>
          <w:szCs w:val="32"/>
        </w:rPr>
        <w:t>2020年5月6日</w:t>
      </w: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5337"/>
    <w:rsid w:val="000155F0"/>
    <w:rsid w:val="000374AF"/>
    <w:rsid w:val="00042CDB"/>
    <w:rsid w:val="0004362A"/>
    <w:rsid w:val="00057141"/>
    <w:rsid w:val="00070938"/>
    <w:rsid w:val="000718A1"/>
    <w:rsid w:val="000726BE"/>
    <w:rsid w:val="00072969"/>
    <w:rsid w:val="000812E4"/>
    <w:rsid w:val="000A64A9"/>
    <w:rsid w:val="000A7119"/>
    <w:rsid w:val="000B7CDE"/>
    <w:rsid w:val="000C01DB"/>
    <w:rsid w:val="000C252A"/>
    <w:rsid w:val="000C2567"/>
    <w:rsid w:val="000C2CCC"/>
    <w:rsid w:val="000E46AA"/>
    <w:rsid w:val="000F2460"/>
    <w:rsid w:val="00105B14"/>
    <w:rsid w:val="00112E44"/>
    <w:rsid w:val="0011497D"/>
    <w:rsid w:val="00134AD4"/>
    <w:rsid w:val="00164350"/>
    <w:rsid w:val="0016500A"/>
    <w:rsid w:val="001A32A1"/>
    <w:rsid w:val="001B7012"/>
    <w:rsid w:val="001C2C08"/>
    <w:rsid w:val="001C5A20"/>
    <w:rsid w:val="001E2CCC"/>
    <w:rsid w:val="001F11CB"/>
    <w:rsid w:val="001F1866"/>
    <w:rsid w:val="001F2451"/>
    <w:rsid w:val="001F7F88"/>
    <w:rsid w:val="002014F4"/>
    <w:rsid w:val="002030C9"/>
    <w:rsid w:val="0020567B"/>
    <w:rsid w:val="00212365"/>
    <w:rsid w:val="00241D33"/>
    <w:rsid w:val="002465AB"/>
    <w:rsid w:val="00247A80"/>
    <w:rsid w:val="00266672"/>
    <w:rsid w:val="0027432D"/>
    <w:rsid w:val="002749D4"/>
    <w:rsid w:val="002928A5"/>
    <w:rsid w:val="00294B47"/>
    <w:rsid w:val="002962D2"/>
    <w:rsid w:val="002977DD"/>
    <w:rsid w:val="002A523D"/>
    <w:rsid w:val="002B3BFA"/>
    <w:rsid w:val="002C1A42"/>
    <w:rsid w:val="002C65B2"/>
    <w:rsid w:val="002D05D6"/>
    <w:rsid w:val="002F1151"/>
    <w:rsid w:val="002F1A95"/>
    <w:rsid w:val="002F70E0"/>
    <w:rsid w:val="00300CB5"/>
    <w:rsid w:val="00301F10"/>
    <w:rsid w:val="0030304D"/>
    <w:rsid w:val="00303948"/>
    <w:rsid w:val="003137E8"/>
    <w:rsid w:val="00323B43"/>
    <w:rsid w:val="0032706D"/>
    <w:rsid w:val="00340633"/>
    <w:rsid w:val="00362387"/>
    <w:rsid w:val="003629EA"/>
    <w:rsid w:val="003648F0"/>
    <w:rsid w:val="00374416"/>
    <w:rsid w:val="00380A23"/>
    <w:rsid w:val="00381124"/>
    <w:rsid w:val="00396B38"/>
    <w:rsid w:val="003A361A"/>
    <w:rsid w:val="003A45EC"/>
    <w:rsid w:val="003A6F4C"/>
    <w:rsid w:val="003B7DC6"/>
    <w:rsid w:val="003C104E"/>
    <w:rsid w:val="003C3D17"/>
    <w:rsid w:val="003C61CA"/>
    <w:rsid w:val="003D37D8"/>
    <w:rsid w:val="003D5855"/>
    <w:rsid w:val="003E433F"/>
    <w:rsid w:val="003F3D98"/>
    <w:rsid w:val="003F5B3E"/>
    <w:rsid w:val="00406B2E"/>
    <w:rsid w:val="00414A49"/>
    <w:rsid w:val="00426133"/>
    <w:rsid w:val="00433241"/>
    <w:rsid w:val="004358AB"/>
    <w:rsid w:val="00437694"/>
    <w:rsid w:val="00470D65"/>
    <w:rsid w:val="0047473A"/>
    <w:rsid w:val="0048048D"/>
    <w:rsid w:val="00492931"/>
    <w:rsid w:val="004C3BAB"/>
    <w:rsid w:val="004E03CF"/>
    <w:rsid w:val="004E207A"/>
    <w:rsid w:val="004F2350"/>
    <w:rsid w:val="00514590"/>
    <w:rsid w:val="00524D2C"/>
    <w:rsid w:val="0052522B"/>
    <w:rsid w:val="005438F0"/>
    <w:rsid w:val="005522A7"/>
    <w:rsid w:val="005553C0"/>
    <w:rsid w:val="0056769C"/>
    <w:rsid w:val="00567840"/>
    <w:rsid w:val="005718BE"/>
    <w:rsid w:val="005751C9"/>
    <w:rsid w:val="005755C0"/>
    <w:rsid w:val="00580BAA"/>
    <w:rsid w:val="00586323"/>
    <w:rsid w:val="005A3059"/>
    <w:rsid w:val="005A62D5"/>
    <w:rsid w:val="005D2F6F"/>
    <w:rsid w:val="005D65DC"/>
    <w:rsid w:val="005F015C"/>
    <w:rsid w:val="005F2306"/>
    <w:rsid w:val="006035DB"/>
    <w:rsid w:val="0060585A"/>
    <w:rsid w:val="00635934"/>
    <w:rsid w:val="00637518"/>
    <w:rsid w:val="006415E3"/>
    <w:rsid w:val="00642253"/>
    <w:rsid w:val="00643996"/>
    <w:rsid w:val="006443C6"/>
    <w:rsid w:val="00646497"/>
    <w:rsid w:val="00665036"/>
    <w:rsid w:val="006657FA"/>
    <w:rsid w:val="00667B0A"/>
    <w:rsid w:val="00671B48"/>
    <w:rsid w:val="006742AA"/>
    <w:rsid w:val="0068230D"/>
    <w:rsid w:val="00694E76"/>
    <w:rsid w:val="006A2A9F"/>
    <w:rsid w:val="006A3693"/>
    <w:rsid w:val="006C182B"/>
    <w:rsid w:val="006C43EA"/>
    <w:rsid w:val="006C5767"/>
    <w:rsid w:val="006F2731"/>
    <w:rsid w:val="007050AF"/>
    <w:rsid w:val="00714659"/>
    <w:rsid w:val="0073434A"/>
    <w:rsid w:val="00734515"/>
    <w:rsid w:val="00742D3A"/>
    <w:rsid w:val="00747B4A"/>
    <w:rsid w:val="007563FB"/>
    <w:rsid w:val="007604F1"/>
    <w:rsid w:val="00764B75"/>
    <w:rsid w:val="00764CBA"/>
    <w:rsid w:val="00767F08"/>
    <w:rsid w:val="007747EC"/>
    <w:rsid w:val="00781380"/>
    <w:rsid w:val="0078227C"/>
    <w:rsid w:val="00784AC6"/>
    <w:rsid w:val="00795617"/>
    <w:rsid w:val="007A54F8"/>
    <w:rsid w:val="007B365A"/>
    <w:rsid w:val="007B3844"/>
    <w:rsid w:val="007B6F80"/>
    <w:rsid w:val="007C2D12"/>
    <w:rsid w:val="007D0CB3"/>
    <w:rsid w:val="007D6EAD"/>
    <w:rsid w:val="007F380F"/>
    <w:rsid w:val="00801BDA"/>
    <w:rsid w:val="00807CFF"/>
    <w:rsid w:val="00822595"/>
    <w:rsid w:val="00823B67"/>
    <w:rsid w:val="00827A08"/>
    <w:rsid w:val="00837EBA"/>
    <w:rsid w:val="00855D4F"/>
    <w:rsid w:val="00856FA9"/>
    <w:rsid w:val="008605C1"/>
    <w:rsid w:val="00887004"/>
    <w:rsid w:val="00892C01"/>
    <w:rsid w:val="008944F0"/>
    <w:rsid w:val="00894A49"/>
    <w:rsid w:val="008B5758"/>
    <w:rsid w:val="008B5AED"/>
    <w:rsid w:val="008B7726"/>
    <w:rsid w:val="008C50CE"/>
    <w:rsid w:val="008D5219"/>
    <w:rsid w:val="008D575C"/>
    <w:rsid w:val="008E06D3"/>
    <w:rsid w:val="008E399E"/>
    <w:rsid w:val="008F4BAC"/>
    <w:rsid w:val="008F67AD"/>
    <w:rsid w:val="00907835"/>
    <w:rsid w:val="0091167E"/>
    <w:rsid w:val="00913A78"/>
    <w:rsid w:val="0094377D"/>
    <w:rsid w:val="009505FF"/>
    <w:rsid w:val="009555B8"/>
    <w:rsid w:val="00985B63"/>
    <w:rsid w:val="00991414"/>
    <w:rsid w:val="009C1C26"/>
    <w:rsid w:val="009C5BC6"/>
    <w:rsid w:val="009C7AC8"/>
    <w:rsid w:val="009D0450"/>
    <w:rsid w:val="009D7DBA"/>
    <w:rsid w:val="009E3177"/>
    <w:rsid w:val="00A02D9A"/>
    <w:rsid w:val="00A0645D"/>
    <w:rsid w:val="00A23232"/>
    <w:rsid w:val="00A347D0"/>
    <w:rsid w:val="00A376A3"/>
    <w:rsid w:val="00A4365A"/>
    <w:rsid w:val="00A5131A"/>
    <w:rsid w:val="00A62C30"/>
    <w:rsid w:val="00A702F8"/>
    <w:rsid w:val="00A722CF"/>
    <w:rsid w:val="00A82C56"/>
    <w:rsid w:val="00A97A89"/>
    <w:rsid w:val="00A97E55"/>
    <w:rsid w:val="00AA0DD9"/>
    <w:rsid w:val="00AB457B"/>
    <w:rsid w:val="00AC04F9"/>
    <w:rsid w:val="00AC483D"/>
    <w:rsid w:val="00AC4E13"/>
    <w:rsid w:val="00AF0FFB"/>
    <w:rsid w:val="00B12DE2"/>
    <w:rsid w:val="00B15A8E"/>
    <w:rsid w:val="00B17F1B"/>
    <w:rsid w:val="00B22EB2"/>
    <w:rsid w:val="00B23BAE"/>
    <w:rsid w:val="00B429D8"/>
    <w:rsid w:val="00B45BD4"/>
    <w:rsid w:val="00B52C16"/>
    <w:rsid w:val="00B6404B"/>
    <w:rsid w:val="00B84E09"/>
    <w:rsid w:val="00BA5A9F"/>
    <w:rsid w:val="00BA7135"/>
    <w:rsid w:val="00BD692E"/>
    <w:rsid w:val="00BD7118"/>
    <w:rsid w:val="00BE26FD"/>
    <w:rsid w:val="00C06652"/>
    <w:rsid w:val="00C13F33"/>
    <w:rsid w:val="00C456C9"/>
    <w:rsid w:val="00C55F07"/>
    <w:rsid w:val="00C612AD"/>
    <w:rsid w:val="00C620E0"/>
    <w:rsid w:val="00CC4826"/>
    <w:rsid w:val="00CE105C"/>
    <w:rsid w:val="00CE222A"/>
    <w:rsid w:val="00CE55D7"/>
    <w:rsid w:val="00CE5C0F"/>
    <w:rsid w:val="00CF0DD8"/>
    <w:rsid w:val="00D1143A"/>
    <w:rsid w:val="00D311B3"/>
    <w:rsid w:val="00D31D50"/>
    <w:rsid w:val="00D439A3"/>
    <w:rsid w:val="00D43BFF"/>
    <w:rsid w:val="00D60501"/>
    <w:rsid w:val="00D64FC8"/>
    <w:rsid w:val="00D707A7"/>
    <w:rsid w:val="00D851F3"/>
    <w:rsid w:val="00D87A24"/>
    <w:rsid w:val="00D9341A"/>
    <w:rsid w:val="00DA2C1E"/>
    <w:rsid w:val="00DA2DD6"/>
    <w:rsid w:val="00DB57B1"/>
    <w:rsid w:val="00DB65EC"/>
    <w:rsid w:val="00DE0D8C"/>
    <w:rsid w:val="00DE1A5F"/>
    <w:rsid w:val="00DE33D0"/>
    <w:rsid w:val="00E105CC"/>
    <w:rsid w:val="00E321B5"/>
    <w:rsid w:val="00E341BC"/>
    <w:rsid w:val="00E34FFD"/>
    <w:rsid w:val="00E35A44"/>
    <w:rsid w:val="00E40E56"/>
    <w:rsid w:val="00E54BD2"/>
    <w:rsid w:val="00E62C50"/>
    <w:rsid w:val="00E67611"/>
    <w:rsid w:val="00E773EB"/>
    <w:rsid w:val="00E80767"/>
    <w:rsid w:val="00E82002"/>
    <w:rsid w:val="00E941C5"/>
    <w:rsid w:val="00E959D0"/>
    <w:rsid w:val="00E97089"/>
    <w:rsid w:val="00ED5F7F"/>
    <w:rsid w:val="00EE1DED"/>
    <w:rsid w:val="00EE5DC4"/>
    <w:rsid w:val="00EF138A"/>
    <w:rsid w:val="00EF630E"/>
    <w:rsid w:val="00F01D0A"/>
    <w:rsid w:val="00F05434"/>
    <w:rsid w:val="00F20467"/>
    <w:rsid w:val="00F225CF"/>
    <w:rsid w:val="00F33332"/>
    <w:rsid w:val="00F51444"/>
    <w:rsid w:val="00F61C1F"/>
    <w:rsid w:val="00F77696"/>
    <w:rsid w:val="00F906C0"/>
    <w:rsid w:val="00F9762A"/>
    <w:rsid w:val="00FA5C91"/>
    <w:rsid w:val="00FA7ABF"/>
    <w:rsid w:val="00FC31AE"/>
    <w:rsid w:val="00FD496D"/>
    <w:rsid w:val="03BC04E9"/>
    <w:rsid w:val="052B33CA"/>
    <w:rsid w:val="06B7344A"/>
    <w:rsid w:val="089D092B"/>
    <w:rsid w:val="08CA0974"/>
    <w:rsid w:val="0AEB5D81"/>
    <w:rsid w:val="0B331047"/>
    <w:rsid w:val="0FB018A6"/>
    <w:rsid w:val="112C518A"/>
    <w:rsid w:val="11582BB5"/>
    <w:rsid w:val="14C34767"/>
    <w:rsid w:val="162F13C3"/>
    <w:rsid w:val="19D440AC"/>
    <w:rsid w:val="1E0F54D2"/>
    <w:rsid w:val="1EA92DE8"/>
    <w:rsid w:val="1EC53750"/>
    <w:rsid w:val="1F821C89"/>
    <w:rsid w:val="24806E05"/>
    <w:rsid w:val="25130625"/>
    <w:rsid w:val="278F0601"/>
    <w:rsid w:val="28045AE5"/>
    <w:rsid w:val="284778D5"/>
    <w:rsid w:val="2DE84AD4"/>
    <w:rsid w:val="2EAF7ABE"/>
    <w:rsid w:val="307163B9"/>
    <w:rsid w:val="30925346"/>
    <w:rsid w:val="31B377E7"/>
    <w:rsid w:val="333F2899"/>
    <w:rsid w:val="34417E70"/>
    <w:rsid w:val="3B2F5BD8"/>
    <w:rsid w:val="3C9907F3"/>
    <w:rsid w:val="3E182DDC"/>
    <w:rsid w:val="3EFC6875"/>
    <w:rsid w:val="411B20F8"/>
    <w:rsid w:val="41276C4A"/>
    <w:rsid w:val="414C24C0"/>
    <w:rsid w:val="4465322E"/>
    <w:rsid w:val="44A60E60"/>
    <w:rsid w:val="45834BA0"/>
    <w:rsid w:val="49DF1D8E"/>
    <w:rsid w:val="4D767A46"/>
    <w:rsid w:val="53D057C4"/>
    <w:rsid w:val="543C1B14"/>
    <w:rsid w:val="57196C74"/>
    <w:rsid w:val="57BE05C9"/>
    <w:rsid w:val="57C05A5B"/>
    <w:rsid w:val="57CB6419"/>
    <w:rsid w:val="5A3D00DB"/>
    <w:rsid w:val="6332165C"/>
    <w:rsid w:val="6AE41A9C"/>
    <w:rsid w:val="6B454235"/>
    <w:rsid w:val="6C8E0113"/>
    <w:rsid w:val="6DA27BD0"/>
    <w:rsid w:val="742303DB"/>
    <w:rsid w:val="7A4F7D65"/>
    <w:rsid w:val="7B0745C0"/>
    <w:rsid w:val="7BE43117"/>
    <w:rsid w:val="7BE830BA"/>
    <w:rsid w:val="7DD9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footer"/>
    <w:basedOn w:val="1"/>
    <w:link w:val="17"/>
    <w:semiHidden/>
    <w:unhideWhenUsed/>
    <w:qFormat/>
    <w:uiPriority w:val="99"/>
    <w:pPr>
      <w:tabs>
        <w:tab w:val="center" w:pos="4153"/>
        <w:tab w:val="right" w:pos="8306"/>
      </w:tabs>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00"/>
      <w:u w:val="none"/>
    </w:rPr>
  </w:style>
  <w:style w:type="character" w:customStyle="1" w:styleId="13">
    <w:name w:val="标题 1 Char"/>
    <w:basedOn w:val="10"/>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 w:type="character" w:customStyle="1" w:styleId="15">
    <w:name w:val="apple-converted-space"/>
    <w:basedOn w:val="10"/>
    <w:qFormat/>
    <w:uiPriority w:val="0"/>
  </w:style>
  <w:style w:type="character" w:customStyle="1" w:styleId="16">
    <w:name w:val="页眉 Char"/>
    <w:basedOn w:val="10"/>
    <w:link w:val="6"/>
    <w:semiHidden/>
    <w:qFormat/>
    <w:uiPriority w:val="99"/>
    <w:rPr>
      <w:rFonts w:ascii="Tahoma" w:hAnsi="Tahoma"/>
      <w:sz w:val="18"/>
      <w:szCs w:val="18"/>
    </w:rPr>
  </w:style>
  <w:style w:type="character" w:customStyle="1" w:styleId="17">
    <w:name w:val="页脚 Char"/>
    <w:basedOn w:val="10"/>
    <w:link w:val="5"/>
    <w:semiHidden/>
    <w:qFormat/>
    <w:uiPriority w:val="99"/>
    <w:rPr>
      <w:rFonts w:ascii="Tahoma" w:hAnsi="Tahoma"/>
      <w:sz w:val="18"/>
      <w:szCs w:val="18"/>
    </w:rPr>
  </w:style>
  <w:style w:type="character" w:customStyle="1" w:styleId="18">
    <w:name w:val="appellation2"/>
    <w:basedOn w:val="10"/>
    <w:qFormat/>
    <w:uiPriority w:val="0"/>
    <w:rPr>
      <w:color w:val="666666"/>
      <w:sz w:val="21"/>
      <w:szCs w:val="21"/>
    </w:rPr>
  </w:style>
  <w:style w:type="character" w:customStyle="1" w:styleId="19">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20">
    <w:name w:val="日期 Char"/>
    <w:basedOn w:val="10"/>
    <w:link w:val="4"/>
    <w:semiHidden/>
    <w:qFormat/>
    <w:uiPriority w:val="99"/>
    <w:rPr>
      <w:rFonts w:ascii="Tahoma" w:hAnsi="Tahoma" w:eastAsia="微软雅黑" w:cstheme="minorBidi"/>
      <w:sz w:val="22"/>
      <w:szCs w:val="22"/>
    </w:rPr>
  </w:style>
  <w:style w:type="character" w:customStyle="1" w:styleId="21">
    <w:name w:val="sub-time"/>
    <w:basedOn w:val="10"/>
    <w:qFormat/>
    <w:uiPriority w:val="0"/>
  </w:style>
  <w:style w:type="character" w:customStyle="1" w:styleId="22">
    <w:name w:val="h-time"/>
    <w:basedOn w:val="10"/>
    <w:qFormat/>
    <w:uiPriority w:val="0"/>
  </w:style>
  <w:style w:type="character" w:customStyle="1" w:styleId="23">
    <w:name w:val="sub-src"/>
    <w:basedOn w:val="10"/>
    <w:qFormat/>
    <w:uiPriority w:val="0"/>
  </w:style>
  <w:style w:type="character" w:customStyle="1" w:styleId="24">
    <w:name w:val="aticle-src"/>
    <w:basedOn w:val="10"/>
    <w:qFormat/>
    <w:uiPriority w:val="0"/>
  </w:style>
  <w:style w:type="paragraph" w:customStyle="1" w:styleId="25">
    <w:name w:val="text_align-center"/>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52081-65E2-4047-9A6C-4CA10FA7D69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105</Words>
  <Characters>603</Characters>
  <Lines>5</Lines>
  <Paragraphs>1</Paragraphs>
  <TotalTime>156</TotalTime>
  <ScaleCrop>false</ScaleCrop>
  <LinksUpToDate>false</LinksUpToDate>
  <CharactersWithSpaces>707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2020-05-05T01:56:00Z</dcterms:created>
  <dc:creator>Administrator</dc:creator>
  <cp:lastModifiedBy>Baleno</cp:lastModifiedBy>
  <cp:lastPrinted>2020-01-06T07:57:00Z</cp:lastPrinted>
  <dcterms:modified xsi:type="dcterms:W3CDTF">2020-05-06T02:00:33Z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